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905FEA">
        <w:rPr>
          <w:rFonts w:asciiTheme="minorHAnsi" w:hAnsiTheme="minorHAnsi" w:cs="Times New Roman"/>
          <w:bCs/>
          <w:spacing w:val="-1"/>
        </w:rPr>
        <w:t>c</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D55875">
        <w:rPr>
          <w:rFonts w:asciiTheme="minorHAnsi" w:hAnsiTheme="minorHAnsi" w:cs="Times New Roman"/>
          <w:sz w:val="20"/>
          <w:szCs w:val="20"/>
        </w:rPr>
        <w:t>6.2020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00D55875">
        <w:rPr>
          <w:rFonts w:cs="Times New Roman"/>
          <w:spacing w:val="-1"/>
          <w:sz w:val="20"/>
          <w:szCs w:val="20"/>
        </w:rPr>
        <w:t>2019</w:t>
      </w:r>
      <w:r w:rsidRPr="003C1CA8">
        <w:rPr>
          <w:rFonts w:cs="Times New Roman"/>
          <w:spacing w:val="-34"/>
          <w:sz w:val="20"/>
          <w:szCs w:val="20"/>
        </w:rPr>
        <w:t>r</w:t>
      </w:r>
      <w:r w:rsidR="00D55875">
        <w:rPr>
          <w:rFonts w:cs="Times New Roman"/>
          <w:sz w:val="20"/>
          <w:szCs w:val="20"/>
        </w:rPr>
        <w:t>. poz. 1843 ze zm.),</w:t>
      </w:r>
      <w:r w:rsidR="00807611" w:rsidRPr="00D55875">
        <w:rPr>
          <w:rFonts w:asciiTheme="minorHAnsi" w:hAnsiTheme="minorHAnsi" w:cs="Times New Roman"/>
          <w:spacing w:val="1"/>
          <w:sz w:val="20"/>
          <w:szCs w:val="20"/>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07611"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905FEA" w:rsidRPr="00905FEA">
        <w:rPr>
          <w:b/>
          <w:bCs/>
          <w:i/>
          <w:sz w:val="20"/>
          <w:szCs w:val="20"/>
        </w:rPr>
        <w:t xml:space="preserve">Utwardzenie drogi płytami JOMB </w:t>
      </w:r>
      <w:r w:rsidR="00905FEA">
        <w:rPr>
          <w:b/>
          <w:bCs/>
          <w:i/>
          <w:sz w:val="20"/>
          <w:szCs w:val="20"/>
        </w:rPr>
        <w:br/>
      </w:r>
      <w:r w:rsidR="00905FEA" w:rsidRPr="00905FEA">
        <w:rPr>
          <w:b/>
          <w:bCs/>
          <w:i/>
          <w:sz w:val="20"/>
          <w:szCs w:val="20"/>
        </w:rPr>
        <w:t>w miejscowości Smardzewice część ul. Wschodniej</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07611">
        <w:rPr>
          <w:sz w:val="20"/>
          <w:szCs w:val="20"/>
        </w:rPr>
        <w:t>.:</w:t>
      </w:r>
      <w:r w:rsidR="008A3DA5" w:rsidRPr="00807611">
        <w:rPr>
          <w:rFonts w:asciiTheme="minorHAnsi" w:eastAsiaTheme="minorEastAsia" w:hAnsiTheme="minorHAnsi" w:cs="Times New Roman"/>
          <w:i/>
          <w:sz w:val="20"/>
          <w:szCs w:val="20"/>
          <w:lang w:eastAsia="pl-PL"/>
        </w:rPr>
        <w:t xml:space="preserve"> </w:t>
      </w:r>
      <w:r w:rsidR="008A3DA5" w:rsidRPr="00807611">
        <w:rPr>
          <w:rFonts w:asciiTheme="minorHAnsi" w:eastAsiaTheme="minorEastAsia" w:hAnsiTheme="minorHAnsi" w:cs="Times New Roman"/>
          <w:sz w:val="20"/>
          <w:szCs w:val="20"/>
          <w:lang w:eastAsia="pl-PL"/>
        </w:rPr>
        <w:t>„</w:t>
      </w:r>
      <w:r w:rsidR="00905FEA" w:rsidRPr="00905FEA">
        <w:rPr>
          <w:i/>
          <w:sz w:val="20"/>
          <w:szCs w:val="20"/>
        </w:rPr>
        <w:t xml:space="preserve">Budowa drogi wewnętrznej – ul. Wschodnia w Smardzewicach  </w:t>
      </w:r>
      <w:r w:rsidR="008A3DA5" w:rsidRPr="00807611">
        <w:rPr>
          <w:sz w:val="20"/>
          <w:szCs w:val="20"/>
        </w:rPr>
        <w:t>”</w:t>
      </w:r>
    </w:p>
    <w:p w:rsidR="00376236" w:rsidRPr="00507AEE" w:rsidRDefault="00376236" w:rsidP="00376236">
      <w:pPr>
        <w:spacing w:after="0" w:line="240" w:lineRule="auto"/>
        <w:jc w:val="both"/>
        <w:rPr>
          <w:rFonts w:cs="Times New Roman"/>
          <w:bCs/>
          <w:sz w:val="20"/>
          <w:szCs w:val="20"/>
        </w:rPr>
      </w:pP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sz w:val="20"/>
          <w:szCs w:val="20"/>
          <w:lang w:eastAsia="en-US"/>
        </w:rPr>
      </w:pPr>
      <w:r w:rsidRPr="00807611">
        <w:rPr>
          <w:rFonts w:asciiTheme="minorHAnsi" w:eastAsiaTheme="minorHAnsi" w:hAnsiTheme="minorHAnsi" w:cs="Times New Roman"/>
          <w:bCs/>
          <w:sz w:val="20"/>
          <w:szCs w:val="20"/>
          <w:lang w:eastAsia="en-US"/>
        </w:rPr>
        <w:t>Lokalizacja: obręb ewidencyjny n</w:t>
      </w:r>
      <w:r w:rsidR="00905FEA">
        <w:rPr>
          <w:rFonts w:asciiTheme="minorHAnsi" w:eastAsiaTheme="minorHAnsi" w:hAnsiTheme="minorHAnsi" w:cs="Times New Roman"/>
          <w:bCs/>
          <w:sz w:val="20"/>
          <w:szCs w:val="20"/>
          <w:lang w:eastAsia="en-US"/>
        </w:rPr>
        <w:t>r 13</w:t>
      </w:r>
      <w:r w:rsidR="00905FEA" w:rsidRPr="00905FEA">
        <w:rPr>
          <w:rFonts w:asciiTheme="minorHAnsi" w:eastAsiaTheme="minorHAnsi" w:hAnsiTheme="minorHAnsi" w:cs="Times New Roman"/>
          <w:bCs/>
          <w:sz w:val="20"/>
          <w:szCs w:val="20"/>
          <w:lang w:eastAsia="en-US"/>
        </w:rPr>
        <w:t xml:space="preserve"> - Smardzewice, numer działki: 2376</w:t>
      </w: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color w:val="FF0000"/>
          <w:sz w:val="20"/>
          <w:szCs w:val="20"/>
          <w:lang w:eastAsia="en-US"/>
        </w:rPr>
      </w:pPr>
    </w:p>
    <w:p w:rsidR="00905FEA" w:rsidRPr="00905FEA" w:rsidRDefault="00905FEA" w:rsidP="00905FEA">
      <w:pPr>
        <w:suppressAutoHyphens w:val="0"/>
        <w:spacing w:after="0" w:line="240" w:lineRule="auto"/>
        <w:contextualSpacing/>
        <w:jc w:val="both"/>
        <w:rPr>
          <w:rFonts w:asciiTheme="minorHAnsi" w:eastAsiaTheme="minorHAnsi" w:hAnsiTheme="minorHAnsi" w:cs="Times New Roman"/>
          <w:bCs/>
          <w:sz w:val="20"/>
          <w:szCs w:val="20"/>
          <w:lang w:eastAsia="en-US"/>
        </w:rPr>
      </w:pPr>
      <w:r w:rsidRPr="00905FEA">
        <w:rPr>
          <w:rFonts w:asciiTheme="minorHAnsi" w:eastAsiaTheme="minorHAnsi" w:hAnsiTheme="minorHAnsi" w:cs="Times New Roman"/>
          <w:bCs/>
          <w:sz w:val="20"/>
          <w:szCs w:val="20"/>
          <w:lang w:eastAsia="en-US"/>
        </w:rPr>
        <w:t>Zakres rzeczowy:</w:t>
      </w:r>
    </w:p>
    <w:p w:rsidR="00905FEA" w:rsidRPr="00905FEA" w:rsidRDefault="00905FEA" w:rsidP="00905FEA">
      <w:pPr>
        <w:suppressAutoHyphens w:val="0"/>
        <w:spacing w:after="0" w:line="240" w:lineRule="auto"/>
        <w:jc w:val="both"/>
        <w:rPr>
          <w:rFonts w:asciiTheme="minorHAnsi" w:eastAsiaTheme="minorHAnsi" w:hAnsiTheme="minorHAnsi" w:cs="Times New Roman"/>
          <w:b/>
          <w:bCs/>
          <w:sz w:val="20"/>
          <w:szCs w:val="20"/>
          <w:lang w:eastAsia="en-US"/>
        </w:rPr>
      </w:pPr>
      <w:r w:rsidRPr="00905FEA">
        <w:rPr>
          <w:rFonts w:asciiTheme="minorHAnsi" w:eastAsiaTheme="minorHAnsi" w:hAnsiTheme="minorHAnsi" w:cs="Times New Roman"/>
          <w:bCs/>
          <w:sz w:val="20"/>
          <w:szCs w:val="20"/>
          <w:lang w:eastAsia="en-US"/>
        </w:rPr>
        <w:t xml:space="preserve">- długość drogi – 600 </w:t>
      </w:r>
      <w:proofErr w:type="spellStart"/>
      <w:r w:rsidRPr="00905FEA">
        <w:rPr>
          <w:rFonts w:asciiTheme="minorHAnsi" w:eastAsiaTheme="minorHAnsi" w:hAnsiTheme="minorHAnsi" w:cs="Times New Roman"/>
          <w:bCs/>
          <w:sz w:val="20"/>
          <w:szCs w:val="20"/>
          <w:lang w:eastAsia="en-US"/>
        </w:rPr>
        <w:t>mb</w:t>
      </w:r>
      <w:proofErr w:type="spellEnd"/>
      <w:r w:rsidRPr="00905FEA">
        <w:rPr>
          <w:rFonts w:asciiTheme="minorHAnsi" w:eastAsiaTheme="minorHAnsi" w:hAnsiTheme="minorHAnsi" w:cs="Times New Roman"/>
          <w:bCs/>
          <w:sz w:val="20"/>
          <w:szCs w:val="20"/>
          <w:lang w:eastAsia="en-US"/>
        </w:rPr>
        <w:t xml:space="preserve"> (droga wewnętrzna),</w:t>
      </w:r>
    </w:p>
    <w:p w:rsidR="00905FEA" w:rsidRPr="00905FEA" w:rsidRDefault="00905FEA" w:rsidP="00905FEA">
      <w:pPr>
        <w:suppressAutoHyphens w:val="0"/>
        <w:spacing w:after="0" w:line="240" w:lineRule="auto"/>
        <w:jc w:val="both"/>
        <w:rPr>
          <w:rFonts w:asciiTheme="minorHAnsi" w:eastAsiaTheme="minorHAnsi" w:hAnsiTheme="minorHAnsi" w:cs="Times New Roman"/>
          <w:bCs/>
          <w:sz w:val="20"/>
          <w:szCs w:val="20"/>
          <w:lang w:eastAsia="en-US"/>
        </w:rPr>
      </w:pPr>
      <w:r w:rsidRPr="00905FEA">
        <w:rPr>
          <w:rFonts w:asciiTheme="minorHAnsi" w:eastAsiaTheme="minorHAnsi" w:hAnsiTheme="minorHAnsi" w:cs="Times New Roman"/>
          <w:bCs/>
          <w:sz w:val="20"/>
          <w:szCs w:val="20"/>
          <w:lang w:eastAsia="en-US"/>
        </w:rPr>
        <w:t xml:space="preserve">- ułożenie płyt JOMB o gr. 12 cm na podsypce piaskowej o gr. 10 cm oraz podbudowie tłuczniowej (materiał </w:t>
      </w:r>
      <w:r w:rsidRPr="00905FEA">
        <w:rPr>
          <w:rFonts w:asciiTheme="minorHAnsi" w:eastAsiaTheme="minorHAnsi" w:hAnsiTheme="minorHAnsi" w:cs="Times New Roman"/>
          <w:bCs/>
          <w:sz w:val="20"/>
          <w:szCs w:val="20"/>
          <w:lang w:eastAsia="en-US"/>
        </w:rPr>
        <w:br/>
        <w:t>z odzysku), na powierzchni 3000 m</w:t>
      </w:r>
      <w:r w:rsidRPr="00905FEA">
        <w:rPr>
          <w:rFonts w:asciiTheme="minorHAnsi" w:eastAsiaTheme="minorHAnsi" w:hAnsiTheme="minorHAnsi" w:cs="Times New Roman"/>
          <w:bCs/>
          <w:sz w:val="20"/>
          <w:szCs w:val="20"/>
          <w:vertAlign w:val="superscript"/>
          <w:lang w:eastAsia="en-US"/>
        </w:rPr>
        <w:t>2</w:t>
      </w:r>
      <w:r w:rsidRPr="00905FEA">
        <w:rPr>
          <w:rFonts w:asciiTheme="minorHAnsi" w:eastAsiaTheme="minorHAnsi" w:hAnsiTheme="minorHAnsi" w:cs="Times New Roman"/>
          <w:bCs/>
          <w:sz w:val="20"/>
          <w:szCs w:val="20"/>
          <w:lang w:eastAsia="en-US"/>
        </w:rPr>
        <w:t>,</w:t>
      </w:r>
    </w:p>
    <w:p w:rsidR="00905FEA" w:rsidRPr="00905FEA" w:rsidRDefault="00905FEA" w:rsidP="00905FEA">
      <w:pPr>
        <w:suppressAutoHyphens w:val="0"/>
        <w:spacing w:after="0" w:line="240" w:lineRule="auto"/>
        <w:jc w:val="both"/>
        <w:rPr>
          <w:rFonts w:asciiTheme="minorHAnsi" w:eastAsiaTheme="minorHAnsi" w:hAnsiTheme="minorHAnsi" w:cs="Times New Roman"/>
          <w:bCs/>
          <w:sz w:val="20"/>
          <w:szCs w:val="20"/>
          <w:lang w:eastAsia="en-US"/>
        </w:rPr>
      </w:pPr>
      <w:r w:rsidRPr="00905FEA">
        <w:rPr>
          <w:rFonts w:asciiTheme="minorHAnsi" w:eastAsiaTheme="minorHAnsi" w:hAnsiTheme="minorHAnsi" w:cs="Times New Roman"/>
          <w:bCs/>
          <w:sz w:val="20"/>
          <w:szCs w:val="20"/>
          <w:lang w:eastAsia="en-US"/>
        </w:rPr>
        <w:t xml:space="preserve">- wykonanie obustronnego pobocza z kruszywa o szer. 0,75 </w:t>
      </w:r>
      <w:proofErr w:type="spellStart"/>
      <w:r w:rsidRPr="00905FEA">
        <w:rPr>
          <w:rFonts w:asciiTheme="minorHAnsi" w:eastAsiaTheme="minorHAnsi" w:hAnsiTheme="minorHAnsi" w:cs="Times New Roman"/>
          <w:bCs/>
          <w:sz w:val="20"/>
          <w:szCs w:val="20"/>
          <w:lang w:eastAsia="en-US"/>
        </w:rPr>
        <w:t>mb</w:t>
      </w:r>
      <w:proofErr w:type="spellEnd"/>
      <w:r w:rsidRPr="00905FEA">
        <w:rPr>
          <w:rFonts w:asciiTheme="minorHAnsi" w:eastAsiaTheme="minorHAnsi" w:hAnsiTheme="minorHAnsi" w:cs="Times New Roman"/>
          <w:bCs/>
          <w:sz w:val="20"/>
          <w:szCs w:val="20"/>
          <w:lang w:eastAsia="en-US"/>
        </w:rPr>
        <w:t>, gr. 8 cm, na powierzchni 900 m</w:t>
      </w:r>
      <w:r w:rsidRPr="00905FEA">
        <w:rPr>
          <w:rFonts w:asciiTheme="minorHAnsi" w:eastAsiaTheme="minorHAnsi" w:hAnsiTheme="minorHAnsi" w:cs="Times New Roman"/>
          <w:bCs/>
          <w:sz w:val="20"/>
          <w:szCs w:val="20"/>
          <w:vertAlign w:val="superscript"/>
          <w:lang w:eastAsia="en-US"/>
        </w:rPr>
        <w:t>2</w:t>
      </w:r>
    </w:p>
    <w:p w:rsidR="002156B3" w:rsidRPr="002156B3" w:rsidRDefault="002156B3" w:rsidP="008A3DA5">
      <w:pPr>
        <w:spacing w:after="0" w:line="240" w:lineRule="auto"/>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807611" w:rsidRDefault="00D6283C" w:rsidP="00807611">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6127F8" w:rsidRPr="006127F8" w:rsidRDefault="006127F8" w:rsidP="006127F8">
      <w:pPr>
        <w:numPr>
          <w:ilvl w:val="0"/>
          <w:numId w:val="4"/>
        </w:numPr>
        <w:tabs>
          <w:tab w:val="num" w:pos="284"/>
        </w:tabs>
        <w:suppressAutoHyphens w:val="0"/>
        <w:spacing w:after="0" w:line="240" w:lineRule="auto"/>
        <w:ind w:left="284" w:hanging="284"/>
        <w:jc w:val="both"/>
        <w:rPr>
          <w:rFonts w:cs="Times New Roman"/>
          <w:bCs/>
          <w:sz w:val="20"/>
          <w:szCs w:val="20"/>
        </w:rPr>
      </w:pPr>
      <w:r w:rsidRPr="006127F8">
        <w:rPr>
          <w:rFonts w:cs="Times New Roman"/>
          <w:bCs/>
          <w:sz w:val="20"/>
          <w:szCs w:val="20"/>
        </w:rPr>
        <w:t>Termin zakończen</w:t>
      </w:r>
      <w:r>
        <w:rPr>
          <w:rFonts w:cs="Times New Roman"/>
          <w:bCs/>
          <w:sz w:val="20"/>
          <w:szCs w:val="20"/>
        </w:rPr>
        <w:t>ia robót budowlanych</w:t>
      </w:r>
      <w:r w:rsidRPr="006127F8">
        <w:rPr>
          <w:rFonts w:cs="Times New Roman"/>
          <w:bCs/>
          <w:sz w:val="20"/>
          <w:szCs w:val="20"/>
        </w:rPr>
        <w:t xml:space="preserve"> nastąpi nie później niż w terminie </w:t>
      </w:r>
      <w:r w:rsidRPr="006127F8">
        <w:rPr>
          <w:rFonts w:cs="Times New Roman"/>
          <w:b/>
          <w:bCs/>
          <w:sz w:val="20"/>
          <w:szCs w:val="20"/>
        </w:rPr>
        <w:t>czterech miesięcy</w:t>
      </w:r>
      <w:r w:rsidRPr="006127F8">
        <w:rPr>
          <w:rFonts w:cs="Times New Roman"/>
          <w:bCs/>
          <w:sz w:val="20"/>
          <w:szCs w:val="20"/>
        </w:rPr>
        <w:t>, licząc od dnia podpisania umowy.</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807611">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zobowiązuje się wyznaczyć do kierowania robotami (kierownik budowy i kierownik robót) </w:t>
      </w:r>
      <w:r w:rsidR="006127F8">
        <w:rPr>
          <w:rFonts w:asciiTheme="minorHAnsi" w:hAnsiTheme="minorHAnsi" w:cs="Times New Roman"/>
          <w:sz w:val="20"/>
          <w:szCs w:val="20"/>
        </w:rPr>
        <w:br/>
      </w:r>
      <w:r w:rsidRPr="00136F4A">
        <w:rPr>
          <w:rFonts w:asciiTheme="minorHAnsi" w:hAnsiTheme="minorHAnsi" w:cs="Times New Roman"/>
          <w:sz w:val="20"/>
          <w:szCs w:val="20"/>
        </w:rPr>
        <w:t>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6127F8">
        <w:rPr>
          <w:rFonts w:asciiTheme="minorHAnsi" w:hAnsiTheme="minorHAnsi" w:cs="Times New Roman"/>
          <w:spacing w:val="-1"/>
          <w:sz w:val="20"/>
          <w:szCs w:val="20"/>
        </w:rPr>
        <w:t>. o odpadach (</w:t>
      </w:r>
      <w:proofErr w:type="spellStart"/>
      <w:r w:rsidR="006127F8">
        <w:rPr>
          <w:rFonts w:asciiTheme="minorHAnsi" w:hAnsiTheme="minorHAnsi" w:cs="Times New Roman"/>
          <w:spacing w:val="-1"/>
          <w:sz w:val="20"/>
          <w:szCs w:val="20"/>
        </w:rPr>
        <w:t>t.j</w:t>
      </w:r>
      <w:proofErr w:type="spellEnd"/>
      <w:r w:rsidR="006127F8">
        <w:rPr>
          <w:rFonts w:asciiTheme="minorHAnsi" w:hAnsiTheme="minorHAnsi" w:cs="Times New Roman"/>
          <w:spacing w:val="-1"/>
          <w:sz w:val="20"/>
          <w:szCs w:val="20"/>
        </w:rPr>
        <w:t>. Dz. U. z 2019 r. poz. 701</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6127F8" w:rsidRPr="009A5189" w:rsidRDefault="00E819CC" w:rsidP="006127F8">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6127F8" w:rsidRPr="009A5189" w:rsidRDefault="006127F8" w:rsidP="006127F8">
      <w:pPr>
        <w:spacing w:before="120" w:after="0" w:line="240" w:lineRule="auto"/>
        <w:contextualSpacing/>
        <w:jc w:val="center"/>
        <w:rPr>
          <w:rFonts w:asciiTheme="minorHAnsi" w:hAnsiTheme="minorHAnsi" w:cs="Times New Roman"/>
          <w:b/>
          <w:sz w:val="20"/>
          <w:szCs w:val="20"/>
        </w:rPr>
      </w:pPr>
      <w:r w:rsidRPr="009A5189">
        <w:rPr>
          <w:rFonts w:asciiTheme="minorHAnsi" w:hAnsiTheme="minorHAnsi" w:cs="Times New Roman"/>
          <w:b/>
          <w:sz w:val="20"/>
          <w:szCs w:val="20"/>
        </w:rPr>
        <w:t>Kary umowne</w:t>
      </w:r>
    </w:p>
    <w:p w:rsidR="006127F8" w:rsidRPr="009A5189" w:rsidRDefault="006127F8" w:rsidP="006127F8">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b/>
          <w:sz w:val="20"/>
          <w:szCs w:val="20"/>
        </w:rPr>
        <w:t xml:space="preserve">Strony ustalają odpowiedzialność za niewykonanie lub nienależyte wykonanie przedmiotu umowy </w:t>
      </w:r>
      <w:r w:rsidRPr="009A5189">
        <w:rPr>
          <w:rFonts w:asciiTheme="minorHAnsi" w:hAnsiTheme="minorHAnsi" w:cs="Times New Roman"/>
          <w:b/>
          <w:sz w:val="20"/>
          <w:szCs w:val="20"/>
        </w:rPr>
        <w:br/>
        <w:t>w formie kar umownych</w:t>
      </w:r>
    </w:p>
    <w:p w:rsidR="006127F8" w:rsidRPr="009A5189" w:rsidRDefault="006127F8" w:rsidP="006127F8">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Za zwłokę Wykonawcy w stosunku do terminu wykonania robót budowlanych - w wysokości 0,1% wynagro</w:t>
      </w:r>
      <w:r>
        <w:rPr>
          <w:rFonts w:asciiTheme="minorHAnsi" w:hAnsiTheme="minorHAnsi" w:cs="Times New Roman"/>
          <w:sz w:val="20"/>
          <w:szCs w:val="20"/>
        </w:rPr>
        <w:t>dzenia brutto, określonego w § 7</w:t>
      </w:r>
      <w:r w:rsidRPr="009A5189">
        <w:rPr>
          <w:rFonts w:asciiTheme="minorHAnsi" w:hAnsiTheme="minorHAnsi" w:cs="Times New Roman"/>
          <w:sz w:val="20"/>
          <w:szCs w:val="20"/>
        </w:rPr>
        <w:t xml:space="preserve"> ust. 1 za każdy dzień zwłoki (termin zakończenia robót </w:t>
      </w:r>
      <w:r w:rsidRPr="009A5189">
        <w:rPr>
          <w:rFonts w:asciiTheme="minorHAnsi" w:hAnsiTheme="minorHAnsi" w:cs="Times New Roman"/>
          <w:sz w:val="20"/>
          <w:szCs w:val="20"/>
        </w:rPr>
        <w:br/>
        <w:t>i wykonania umowy określono w § 2  niniejszej umowy),</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9A5189">
        <w:rPr>
          <w:rFonts w:asciiTheme="minorHAnsi" w:hAnsiTheme="minorHAnsi" w:cs="Times New Roman"/>
          <w:sz w:val="20"/>
          <w:szCs w:val="20"/>
        </w:rPr>
        <w:t>Za zwłokę w usunięciu wad stwierdzonych w okresie gwarancji i rękojmi – w wysokości 0,1% wynagrodzenia brutto, określonego w §</w:t>
      </w:r>
      <w:r>
        <w:rPr>
          <w:rFonts w:asciiTheme="minorHAnsi" w:hAnsiTheme="minorHAnsi" w:cs="Times New Roman"/>
          <w:sz w:val="20"/>
          <w:szCs w:val="20"/>
        </w:rPr>
        <w:t xml:space="preserve"> 7</w:t>
      </w:r>
      <w:r w:rsidRPr="009A5189">
        <w:rPr>
          <w:rFonts w:asciiTheme="minorHAnsi" w:hAnsiTheme="minorHAnsi" w:cs="Times New Roman"/>
          <w:sz w:val="20"/>
          <w:szCs w:val="20"/>
        </w:rPr>
        <w:t xml:space="preserve"> ust. 1 za każdy dzień zwłoki liczony od dnia wyznaczonego </w:t>
      </w:r>
      <w:r w:rsidRPr="009A5189">
        <w:rPr>
          <w:rFonts w:asciiTheme="minorHAnsi" w:hAnsiTheme="minorHAnsi" w:cs="Times New Roman"/>
          <w:sz w:val="20"/>
          <w:szCs w:val="20"/>
        </w:rPr>
        <w:br/>
        <w:t>na usunięcie wad,</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b/>
          <w:sz w:val="20"/>
          <w:szCs w:val="20"/>
        </w:rPr>
        <w:t xml:space="preserve">w przypadku odstąpienia lub rozwiązania umowy przez Wykonawcę lub Zamawiającego z przyczyn leżących po stronie Wykonawcy </w:t>
      </w:r>
      <w:r w:rsidRPr="009A5189">
        <w:rPr>
          <w:rFonts w:asciiTheme="minorHAnsi" w:hAnsiTheme="minorHAnsi" w:cs="Times New Roman"/>
          <w:sz w:val="20"/>
          <w:szCs w:val="20"/>
        </w:rPr>
        <w:t>– w wysokości 30% wynagro</w:t>
      </w:r>
      <w:r>
        <w:rPr>
          <w:rFonts w:asciiTheme="minorHAnsi" w:hAnsiTheme="minorHAnsi" w:cs="Times New Roman"/>
          <w:sz w:val="20"/>
          <w:szCs w:val="20"/>
        </w:rPr>
        <w:t>dzenia brutto, określonego w § 7</w:t>
      </w:r>
      <w:r w:rsidRPr="009A5189">
        <w:rPr>
          <w:rFonts w:asciiTheme="minorHAnsi" w:hAnsiTheme="minorHAnsi" w:cs="Times New Roman"/>
          <w:sz w:val="20"/>
          <w:szCs w:val="20"/>
        </w:rPr>
        <w:t xml:space="preserve"> ust. 1,</w:t>
      </w:r>
    </w:p>
    <w:p w:rsidR="006127F8" w:rsidRPr="009A5189" w:rsidRDefault="006127F8" w:rsidP="006127F8">
      <w:pPr>
        <w:numPr>
          <w:ilvl w:val="1"/>
          <w:numId w:val="15"/>
        </w:numPr>
        <w:tabs>
          <w:tab w:val="num" w:pos="284"/>
        </w:tabs>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 z tytułu:</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a) Braku zapłaty lub nieterminowej zapłaty wynagrodzenia należnego podwykonawcom lub dalszym podwykonawcom w wysokości 0,1%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zwłoki, wynikający z zawartej umowy z podwykonawcą</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9E2F0D">
        <w:rPr>
          <w:rFonts w:asciiTheme="minorHAnsi" w:hAnsiTheme="minorHAnsi" w:cs="Times New Roman"/>
          <w:sz w:val="20"/>
          <w:szCs w:val="20"/>
        </w:rPr>
        <w:br/>
      </w:r>
      <w:r w:rsidRPr="009A5189">
        <w:rPr>
          <w:rFonts w:asciiTheme="minorHAnsi" w:hAnsiTheme="minorHAnsi" w:cs="Times New Roman"/>
          <w:sz w:val="20"/>
          <w:szCs w:val="20"/>
        </w:rPr>
        <w:t>w § 5 ust.1 za każdy dzień z</w:t>
      </w:r>
      <w:r w:rsidR="009E2F0D">
        <w:rPr>
          <w:rFonts w:asciiTheme="minorHAnsi" w:hAnsiTheme="minorHAnsi" w:cs="Times New Roman"/>
          <w:sz w:val="20"/>
          <w:szCs w:val="20"/>
        </w:rPr>
        <w:t>włoki, wynikający z zapisów § 12</w:t>
      </w:r>
      <w:r w:rsidRPr="009A5189">
        <w:rPr>
          <w:rFonts w:asciiTheme="minorHAnsi" w:hAnsiTheme="minorHAnsi" w:cs="Times New Roman"/>
          <w:sz w:val="20"/>
          <w:szCs w:val="20"/>
        </w:rPr>
        <w:t xml:space="preserve"> niniejszej umowy</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c)  Nieprzedłożenia poświadczonej za zgodność z oryginałem kopii umowy o podwykonawstwo lub jej zmiany w wysokości 0,5%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t>
      </w:r>
      <w:r w:rsidR="009E2F0D">
        <w:rPr>
          <w:rFonts w:asciiTheme="minorHAnsi" w:hAnsiTheme="minorHAnsi" w:cs="Times New Roman"/>
          <w:sz w:val="20"/>
          <w:szCs w:val="20"/>
        </w:rPr>
        <w:t>włoki, wynikający z zapisów § 12</w:t>
      </w:r>
      <w:r w:rsidRPr="009A5189">
        <w:rPr>
          <w:rFonts w:asciiTheme="minorHAnsi" w:hAnsiTheme="minorHAnsi" w:cs="Times New Roman"/>
          <w:sz w:val="20"/>
          <w:szCs w:val="20"/>
        </w:rPr>
        <w:t xml:space="preserve"> niniejszej umowy</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9A5189">
        <w:rPr>
          <w:rFonts w:asciiTheme="minorHAnsi" w:hAnsiTheme="minorHAnsi" w:cs="Times New Roman"/>
          <w:sz w:val="20"/>
          <w:szCs w:val="20"/>
        </w:rPr>
        <w:t>Pzp</w:t>
      </w:r>
      <w:proofErr w:type="spellEnd"/>
      <w:r w:rsidRPr="009A5189">
        <w:rPr>
          <w:rFonts w:asciiTheme="minorHAnsi" w:hAnsiTheme="minorHAnsi" w:cs="Times New Roman"/>
          <w:sz w:val="20"/>
          <w:szCs w:val="20"/>
        </w:rPr>
        <w:t>, w wysokości 0,5%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zwłoki, liczony od dnia wskazanego przez Zamawiającego  na usunięcie zastrzeżeń </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e)  w wypadku nie spełnienia wymagań odnośnie obowiązku zatrudniania osób przy realizacji zamówienia na podstawie umowy o p</w:t>
      </w:r>
      <w:r w:rsidR="009E2F0D">
        <w:rPr>
          <w:rFonts w:asciiTheme="minorHAnsi" w:hAnsiTheme="minorHAnsi" w:cs="Times New Roman"/>
          <w:sz w:val="20"/>
          <w:szCs w:val="20"/>
        </w:rPr>
        <w:t>racę – zgo</w:t>
      </w:r>
      <w:r w:rsidR="00905FEA">
        <w:rPr>
          <w:rFonts w:asciiTheme="minorHAnsi" w:hAnsiTheme="minorHAnsi" w:cs="Times New Roman"/>
          <w:sz w:val="20"/>
          <w:szCs w:val="20"/>
        </w:rPr>
        <w:t>dnie z zapisami § 15</w:t>
      </w:r>
      <w:r>
        <w:rPr>
          <w:rFonts w:asciiTheme="minorHAnsi" w:hAnsiTheme="minorHAnsi" w:cs="Times New Roman"/>
          <w:sz w:val="20"/>
          <w:szCs w:val="20"/>
        </w:rPr>
        <w:t xml:space="preserve"> </w:t>
      </w:r>
      <w:r w:rsidRPr="009A5189">
        <w:rPr>
          <w:rFonts w:asciiTheme="minorHAnsi" w:hAnsiTheme="minorHAnsi" w:cs="Times New Roman"/>
          <w:sz w:val="20"/>
          <w:szCs w:val="20"/>
        </w:rPr>
        <w:t xml:space="preserve">umowy </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p>
    <w:p w:rsidR="006127F8" w:rsidRPr="009A5189" w:rsidRDefault="006127F8" w:rsidP="006127F8">
      <w:pPr>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3.</w:t>
      </w:r>
      <w:r w:rsidRPr="009A5189">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6127F8" w:rsidRPr="009A5189" w:rsidRDefault="006127F8" w:rsidP="006127F8">
      <w:pPr>
        <w:tabs>
          <w:tab w:val="num" w:pos="851"/>
        </w:tabs>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4.</w:t>
      </w:r>
      <w:r w:rsidRPr="009A5189">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6127F8" w:rsidRPr="009A5189" w:rsidRDefault="006127F8" w:rsidP="006127F8">
      <w:pPr>
        <w:tabs>
          <w:tab w:val="num" w:pos="851"/>
        </w:tabs>
        <w:suppressAutoHyphens w:val="0"/>
        <w:spacing w:after="0" w:line="240" w:lineRule="auto"/>
        <w:contextualSpacing/>
        <w:jc w:val="both"/>
        <w:rPr>
          <w:rFonts w:asciiTheme="minorHAnsi" w:hAnsiTheme="minorHAnsi" w:cs="Times New Roman"/>
          <w:sz w:val="20"/>
          <w:szCs w:val="20"/>
        </w:rPr>
      </w:pPr>
      <w:r w:rsidRPr="009A5189">
        <w:rPr>
          <w:rFonts w:asciiTheme="minorHAnsi" w:hAnsiTheme="minorHAnsi" w:cs="Times New Roman"/>
          <w:b/>
          <w:sz w:val="20"/>
          <w:szCs w:val="20"/>
        </w:rPr>
        <w:t>5.</w:t>
      </w:r>
      <w:r w:rsidRPr="009A5189">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6127F8" w:rsidRPr="009A5189" w:rsidRDefault="006127F8" w:rsidP="006127F8">
      <w:pPr>
        <w:spacing w:before="108" w:after="0" w:line="240" w:lineRule="auto"/>
        <w:contextualSpacing/>
        <w:jc w:val="both"/>
        <w:rPr>
          <w:rFonts w:asciiTheme="minorHAnsi" w:hAnsiTheme="minorHAnsi" w:cs="Times New Roman"/>
          <w:spacing w:val="-8"/>
          <w:w w:val="105"/>
          <w:sz w:val="20"/>
          <w:szCs w:val="20"/>
        </w:rPr>
      </w:pPr>
      <w:r w:rsidRPr="009A5189">
        <w:rPr>
          <w:rFonts w:asciiTheme="minorHAnsi" w:hAnsiTheme="minorHAnsi" w:cs="Times New Roman"/>
          <w:b/>
          <w:spacing w:val="-8"/>
          <w:w w:val="105"/>
          <w:sz w:val="20"/>
          <w:szCs w:val="20"/>
        </w:rPr>
        <w:t>6.</w:t>
      </w:r>
      <w:r w:rsidRPr="009A5189">
        <w:rPr>
          <w:rFonts w:asciiTheme="minorHAnsi" w:hAnsiTheme="minorHAnsi" w:cs="Times New Roman"/>
          <w:spacing w:val="-8"/>
          <w:w w:val="105"/>
          <w:sz w:val="20"/>
          <w:szCs w:val="20"/>
        </w:rPr>
        <w:t xml:space="preserve"> Zapłata kary przez Wykonawcę lub potrącenie przez Zamawiającego kwoty kary z płatności należnej </w:t>
      </w:r>
      <w:r w:rsidRPr="009A5189">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6127F8" w:rsidRPr="009A5189" w:rsidRDefault="006127F8" w:rsidP="006127F8">
      <w:pPr>
        <w:spacing w:before="144" w:after="0" w:line="240" w:lineRule="auto"/>
        <w:contextualSpacing/>
        <w:jc w:val="both"/>
        <w:rPr>
          <w:rFonts w:asciiTheme="minorHAnsi" w:hAnsiTheme="minorHAnsi" w:cs="Times New Roman"/>
          <w:spacing w:val="-2"/>
          <w:w w:val="105"/>
          <w:sz w:val="20"/>
          <w:szCs w:val="20"/>
        </w:rPr>
      </w:pPr>
      <w:r w:rsidRPr="009A5189">
        <w:rPr>
          <w:rFonts w:asciiTheme="minorHAnsi" w:hAnsiTheme="minorHAnsi" w:cs="Times New Roman"/>
          <w:b/>
          <w:spacing w:val="-8"/>
          <w:w w:val="105"/>
          <w:sz w:val="20"/>
          <w:szCs w:val="20"/>
        </w:rPr>
        <w:t>7.</w:t>
      </w:r>
      <w:r w:rsidRPr="009A5189">
        <w:rPr>
          <w:rFonts w:asciiTheme="minorHAnsi" w:hAnsiTheme="minorHAnsi" w:cs="Times New Roman"/>
          <w:spacing w:val="-8"/>
          <w:w w:val="105"/>
          <w:sz w:val="20"/>
          <w:szCs w:val="20"/>
        </w:rPr>
        <w:t xml:space="preserve"> Zamawiający ma prawo do potrącenia wartości naliczonych Wykonawcy kar umownych z należnego </w:t>
      </w:r>
      <w:r w:rsidRPr="009A5189">
        <w:rPr>
          <w:rFonts w:asciiTheme="minorHAnsi" w:hAnsiTheme="minorHAnsi" w:cs="Times New Roman"/>
          <w:spacing w:val="-2"/>
          <w:w w:val="105"/>
          <w:sz w:val="20"/>
          <w:szCs w:val="20"/>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07611">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8A69A1">
        <w:rPr>
          <w:rFonts w:asciiTheme="minorHAnsi" w:hAnsiTheme="minorHAnsi" w:cs="Times New Roman"/>
          <w:sz w:val="20"/>
          <w:szCs w:val="20"/>
        </w:rPr>
        <w:t xml:space="preserve">nia do projektu umowy </w:t>
      </w:r>
      <w:r w:rsidR="008A69A1">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kładane</w:t>
      </w:r>
      <w:r w:rsidR="00807611">
        <w:rPr>
          <w:rFonts w:asciiTheme="minorHAnsi" w:hAnsiTheme="minorHAnsi" w:cs="Times New Roman"/>
          <w:b/>
          <w:sz w:val="20"/>
          <w:szCs w:val="20"/>
        </w:rPr>
        <w:t xml:space="preserve">j faktury oświadczenie, </w:t>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07611">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 xml:space="preserve">owników na podstawie umowy o pracę </w:t>
      </w:r>
      <w:r w:rsidR="008A69A1">
        <w:rPr>
          <w:rFonts w:asciiTheme="minorHAnsi" w:hAnsiTheme="minorHAnsi" w:cs="Times New Roman"/>
          <w:b/>
          <w:sz w:val="20"/>
          <w:szCs w:val="20"/>
        </w:rPr>
        <w:br/>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 xml:space="preserve">Kodeksu Cywilnego za zapłatę wymagalnego wynagrodzenia przysługującego podwykonawcy lub dalszemu podwykonawcy </w:t>
      </w:r>
      <w:r w:rsidR="006127F8">
        <w:rPr>
          <w:rFonts w:asciiTheme="minorHAnsi" w:hAnsiTheme="minorHAnsi" w:cs="Times New Roman"/>
          <w:b/>
          <w:sz w:val="20"/>
          <w:szCs w:val="20"/>
        </w:rPr>
        <w:br/>
      </w:r>
      <w:r w:rsidRPr="00136F4A">
        <w:rPr>
          <w:rFonts w:asciiTheme="minorHAnsi" w:hAnsiTheme="minorHAnsi" w:cs="Times New Roman"/>
          <w:b/>
          <w:sz w:val="20"/>
          <w:szCs w:val="20"/>
        </w:rPr>
        <w:t>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905FEA"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807611" w:rsidRDefault="00D6283C" w:rsidP="0080761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9E2F0D" w:rsidRDefault="009E2F0D" w:rsidP="00D6283C">
      <w:pPr>
        <w:spacing w:before="120" w:after="0" w:line="240" w:lineRule="auto"/>
        <w:contextualSpacing/>
        <w:jc w:val="center"/>
        <w:rPr>
          <w:rFonts w:asciiTheme="minorHAnsi" w:hAnsiTheme="minorHAnsi" w:cs="Times New Roman"/>
          <w:b/>
          <w:sz w:val="20"/>
          <w:szCs w:val="20"/>
        </w:rPr>
      </w:pPr>
    </w:p>
    <w:p w:rsidR="009E2F0D" w:rsidRDefault="009E2F0D" w:rsidP="00D6283C">
      <w:pPr>
        <w:spacing w:before="120" w:after="0" w:line="240" w:lineRule="auto"/>
        <w:contextualSpacing/>
        <w:jc w:val="center"/>
        <w:rPr>
          <w:rFonts w:asciiTheme="minorHAnsi" w:hAnsiTheme="minorHAnsi" w:cs="Times New Roman"/>
          <w:b/>
          <w:sz w:val="20"/>
          <w:szCs w:val="20"/>
        </w:rPr>
      </w:pPr>
    </w:p>
    <w:p w:rsidR="00D6283C" w:rsidRPr="00136F4A" w:rsidRDefault="00905FEA"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905FEA"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807611">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905FEA"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905FEA"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bookmarkStart w:id="0" w:name="_GoBack"/>
      <w:bookmarkEnd w:id="0"/>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33"/>
    <w:rsid w:val="00045320"/>
    <w:rsid w:val="00076A25"/>
    <w:rsid w:val="00082333"/>
    <w:rsid w:val="00184E34"/>
    <w:rsid w:val="001D129A"/>
    <w:rsid w:val="002156B3"/>
    <w:rsid w:val="00376236"/>
    <w:rsid w:val="00575ABD"/>
    <w:rsid w:val="005764EE"/>
    <w:rsid w:val="006127F8"/>
    <w:rsid w:val="007A3639"/>
    <w:rsid w:val="00807611"/>
    <w:rsid w:val="008A3DA5"/>
    <w:rsid w:val="008A69A1"/>
    <w:rsid w:val="00903735"/>
    <w:rsid w:val="00905FEA"/>
    <w:rsid w:val="0095011D"/>
    <w:rsid w:val="009612BB"/>
    <w:rsid w:val="009E2F0D"/>
    <w:rsid w:val="00A6201A"/>
    <w:rsid w:val="00A97604"/>
    <w:rsid w:val="00AB0EED"/>
    <w:rsid w:val="00AF0FA8"/>
    <w:rsid w:val="00C005D8"/>
    <w:rsid w:val="00C140B3"/>
    <w:rsid w:val="00D55875"/>
    <w:rsid w:val="00D6283C"/>
    <w:rsid w:val="00E819CC"/>
    <w:rsid w:val="00EE4EE6"/>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F9E-EF5C-4029-9808-6CF6FF8C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7493</Words>
  <Characters>44962</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3</cp:revision>
  <cp:lastPrinted>2020-02-19T13:48:00Z</cp:lastPrinted>
  <dcterms:created xsi:type="dcterms:W3CDTF">2020-02-19T13:49:00Z</dcterms:created>
  <dcterms:modified xsi:type="dcterms:W3CDTF">2020-02-19T14:01:00Z</dcterms:modified>
</cp:coreProperties>
</file>