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22A7E484" w:rsidR="00574D9F" w:rsidRPr="00D023EB" w:rsidRDefault="00574D9F" w:rsidP="00D023E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D8661D">
        <w:rPr>
          <w:rFonts w:ascii="Calibri" w:hAnsi="Calibri" w:cs="Calibri"/>
          <w:i/>
          <w:color w:val="000000" w:themeColor="text1"/>
          <w:sz w:val="22"/>
          <w:szCs w:val="22"/>
        </w:rPr>
        <w:t>2</w:t>
      </w:r>
      <w:r w:rsidRPr="00D023E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D023EB" w:rsidRDefault="00574D9F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w Tomaszowie Mazowieckim w dniu ………………… 2021 r.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D023EB" w:rsidRDefault="00574D9F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D023EB" w:rsidRDefault="00574D9F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D023EB" w:rsidRDefault="00574D9F" w:rsidP="00D023E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D023EB" w:rsidRDefault="00574D9F" w:rsidP="00D023E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D023EB" w:rsidRDefault="00574D9F" w:rsidP="00D023E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D023EB" w:rsidRDefault="00574D9F" w:rsidP="00D023EB">
      <w:pPr>
        <w:pStyle w:val="Akapitzlist"/>
        <w:numPr>
          <w:ilvl w:val="0"/>
          <w:numId w:val="42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D023EB">
        <w:rPr>
          <w:color w:val="000000" w:themeColor="text1"/>
        </w:rPr>
        <w:t xml:space="preserve">wspólnie zwanymi dalej </w:t>
      </w:r>
      <w:r w:rsidRPr="00D023E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D023EB" w:rsidRDefault="00574D9F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4A19C2A5" w:rsidR="00574D9F" w:rsidRPr="00D023EB" w:rsidRDefault="00574D9F" w:rsidP="00D023E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D023E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D023E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B708A6" w:rsidRPr="00D023EB">
        <w:rPr>
          <w:rFonts w:ascii="Calibri" w:hAnsi="Calibri" w:cs="Calibri"/>
          <w:color w:val="000000" w:themeColor="text1"/>
          <w:sz w:val="22"/>
          <w:szCs w:val="22"/>
        </w:rPr>
        <w:t>1.4.2021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3E885BBB" w14:textId="77777777" w:rsidR="00C7351C" w:rsidRPr="00D023EB" w:rsidRDefault="00C7351C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D023EB" w:rsidRDefault="000633A5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D023EB" w:rsidRDefault="00892A29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43167546" w:rsidR="00074703" w:rsidRPr="00D023EB" w:rsidRDefault="000633A5" w:rsidP="00D023EB">
      <w:pPr>
        <w:pStyle w:val="Tekstpodstawowy"/>
        <w:spacing w:after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D023E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B708A6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Zadaszenie tarasu wraz </w:t>
      </w:r>
      <w:r w:rsidR="00B708A6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>z robotami towarzyszącymi przy Domu Ludowym w Zawadzie</w:t>
      </w:r>
      <w:r w:rsidR="008E7CC0" w:rsidRPr="00D023EB">
        <w:rPr>
          <w:rFonts w:ascii="Calibri" w:hAnsi="Calibri" w:cs="Calibri"/>
          <w:color w:val="000000" w:themeColor="text1"/>
          <w:sz w:val="22"/>
          <w:szCs w:val="22"/>
        </w:rPr>
        <w:t>”</w:t>
      </w:r>
      <w:r w:rsidR="00074703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w ramach zadania budżetowego pn. </w:t>
      </w:r>
      <w:r w:rsidR="00074703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</w:t>
      </w:r>
      <w:r w:rsidR="00B708A6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Zagospodarowanie terenu wokół Domu Ludowego w Zawadzie</w:t>
      </w:r>
      <w:r w:rsidR="00074703" w:rsidRPr="00D023E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”</w:t>
      </w:r>
    </w:p>
    <w:p w14:paraId="7C47BF0B" w14:textId="77777777" w:rsidR="00582B0A" w:rsidRPr="00D023EB" w:rsidRDefault="00582B0A" w:rsidP="00D023E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0D45360" w14:textId="20EB32FC" w:rsidR="00F140BE" w:rsidRPr="00D023EB" w:rsidRDefault="00F140BE" w:rsidP="00D023E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  <w:u w:val="single"/>
        </w:rPr>
        <w:t>Zakres rzeczowy</w:t>
      </w:r>
      <w:r w:rsidR="00774957" w:rsidRPr="00D023EB">
        <w:rPr>
          <w:rFonts w:ascii="Calibri" w:hAnsi="Calibri" w:cs="Calibri"/>
          <w:color w:val="000000" w:themeColor="text1"/>
          <w:sz w:val="22"/>
          <w:szCs w:val="22"/>
          <w:u w:val="single"/>
        </w:rPr>
        <w:t>:</w:t>
      </w:r>
    </w:p>
    <w:p w14:paraId="6439DEBB" w14:textId="77777777" w:rsidR="00535E39" w:rsidRPr="00D023EB" w:rsidRDefault="00535E39" w:rsidP="00D023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pacing w:val="-3"/>
          <w:sz w:val="22"/>
          <w:szCs w:val="22"/>
        </w:rPr>
      </w:pPr>
      <w:r w:rsidRPr="00D023EB">
        <w:rPr>
          <w:rFonts w:ascii="Calibri" w:hAnsi="Calibri" w:cs="Calibri"/>
          <w:bCs/>
          <w:color w:val="000000"/>
          <w:spacing w:val="-3"/>
          <w:sz w:val="22"/>
          <w:szCs w:val="22"/>
        </w:rPr>
        <w:t>Zadaszenie tarasu tj. budowa wiaty w konstrukcji drewnianej w rzucie prostokąta z dachem dwuspadowym.</w:t>
      </w:r>
    </w:p>
    <w:p w14:paraId="1B22A1B9" w14:textId="77777777" w:rsidR="00535E39" w:rsidRPr="00D023EB" w:rsidRDefault="00535E39" w:rsidP="00D023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pacing w:val="-3"/>
          <w:sz w:val="22"/>
          <w:szCs w:val="22"/>
        </w:rPr>
      </w:pPr>
      <w:r w:rsidRPr="00D023EB">
        <w:rPr>
          <w:rFonts w:ascii="Calibri" w:hAnsi="Calibri" w:cs="Calibri"/>
          <w:bCs/>
          <w:color w:val="000000"/>
          <w:spacing w:val="-3"/>
          <w:sz w:val="22"/>
          <w:szCs w:val="22"/>
        </w:rPr>
        <w:t>Dane techniczne:</w:t>
      </w:r>
    </w:p>
    <w:p w14:paraId="1AA2FE5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długość – 4,5 m</w:t>
      </w:r>
    </w:p>
    <w:p w14:paraId="7A050C8D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szerokość – 7,5 m</w:t>
      </w:r>
    </w:p>
    <w:p w14:paraId="2EBF641A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wysokość w kalenicy – max. 4,6 m</w:t>
      </w:r>
    </w:p>
    <w:p w14:paraId="7F6FFC0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powierzchnia zabudowy – 33,75 m</w:t>
      </w:r>
      <w:r w:rsidRPr="00D023EB">
        <w:rPr>
          <w:bCs/>
          <w:color w:val="000000"/>
          <w:spacing w:val="-3"/>
          <w:vertAlign w:val="superscript"/>
        </w:rPr>
        <w:t>2</w:t>
      </w:r>
    </w:p>
    <w:p w14:paraId="06259149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dach dwuspadowy o spadku 25%</w:t>
      </w:r>
    </w:p>
    <w:p w14:paraId="6A435C15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stopy fundamentowe z betonu C16/20</w:t>
      </w:r>
    </w:p>
    <w:p w14:paraId="3530852B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słupy z drewna sosnowego o wym. 20x20 cm i 14x14cm</w:t>
      </w:r>
    </w:p>
    <w:p w14:paraId="21719FE9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krokwie oraz pozostałe elementy z drewna sosnowego o wym. 8x16 cm</w:t>
      </w:r>
    </w:p>
    <w:p w14:paraId="1F106698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konstrukcja dachu krokwiowo-jętkowa poszyta od spodu podbitką z drewna sosnowego</w:t>
      </w:r>
    </w:p>
    <w:p w14:paraId="533C8A7E" w14:textId="77777777" w:rsidR="00535E39" w:rsidRPr="00D023EB" w:rsidRDefault="00535E39" w:rsidP="00D023E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pacing w:val="-3"/>
        </w:rPr>
      </w:pPr>
      <w:r w:rsidRPr="00D023EB">
        <w:rPr>
          <w:bCs/>
          <w:color w:val="000000"/>
          <w:spacing w:val="-3"/>
        </w:rPr>
        <w:t>pokrycie dachu blachodachówką w kolorze jak na budynku istniejącym</w:t>
      </w:r>
    </w:p>
    <w:p w14:paraId="436EE9B4" w14:textId="11086AAC" w:rsidR="005567C7" w:rsidRPr="00D023EB" w:rsidRDefault="005567C7" w:rsidP="00D023EB">
      <w:pPr>
        <w:jc w:val="both"/>
        <w:rPr>
          <w:rFonts w:ascii="Calibri" w:eastAsia="Lucida Sans Unicode" w:hAnsi="Calibri" w:cs="Calibri"/>
          <w:bCs/>
          <w:color w:val="000000" w:themeColor="text1"/>
          <w:kern w:val="1"/>
          <w:sz w:val="22"/>
          <w:szCs w:val="22"/>
          <w:lang w:eastAsia="hi-IN" w:bidi="hi-IN"/>
        </w:rPr>
      </w:pPr>
    </w:p>
    <w:p w14:paraId="0AF10F85" w14:textId="371A3562" w:rsidR="005567C7" w:rsidRPr="00D023EB" w:rsidRDefault="005567C7" w:rsidP="00D023EB">
      <w:pPr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bookmarkStart w:id="0" w:name="_Hlk81916722"/>
      <w:r w:rsidRPr="00D023EB">
        <w:rPr>
          <w:rFonts w:ascii="Calibri" w:hAnsi="Calibri" w:cs="Calibri"/>
          <w:bCs/>
          <w:i/>
          <w:color w:val="000000" w:themeColor="text1"/>
          <w:sz w:val="22"/>
          <w:szCs w:val="22"/>
        </w:rPr>
        <w:t>Szczegółowy zakres robót budowlanych określony jest w projekcie budowlanym oraz przedmiarze robót</w:t>
      </w:r>
      <w:r w:rsidR="008D0E1C" w:rsidRPr="00D023EB">
        <w:rPr>
          <w:rFonts w:ascii="Calibri" w:hAnsi="Calibri" w:cs="Calibri"/>
          <w:bCs/>
          <w:i/>
          <w:color w:val="000000" w:themeColor="text1"/>
          <w:sz w:val="22"/>
          <w:szCs w:val="22"/>
        </w:rPr>
        <w:t>.</w:t>
      </w:r>
    </w:p>
    <w:p w14:paraId="6C954397" w14:textId="354EEC85" w:rsidR="005567C7" w:rsidRPr="00D023EB" w:rsidRDefault="005567C7" w:rsidP="00D023EB">
      <w:pPr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</w:p>
    <w:bookmarkEnd w:id="0"/>
    <w:p w14:paraId="05D0905D" w14:textId="721F3E42" w:rsidR="005567C7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FA381C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612343E" w14:textId="536AEDE9" w:rsidR="00582B0A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Zamawiającego</w:t>
      </w:r>
    </w:p>
    <w:p w14:paraId="348CF43B" w14:textId="77777777" w:rsidR="00774957" w:rsidRPr="00D023EB" w:rsidRDefault="00774957" w:rsidP="00D023EB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Do obowiązków Zamawiającego należy:</w:t>
      </w:r>
    </w:p>
    <w:p w14:paraId="48E87009" w14:textId="2BC7B4B4" w:rsidR="00EF6E81" w:rsidRPr="00D023EB" w:rsidRDefault="00EF6E81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lastRenderedPageBreak/>
        <w:t>przekazanie Wykonawcy dokumentacji projektowej w 1 egz.,</w:t>
      </w:r>
    </w:p>
    <w:p w14:paraId="276C350F" w14:textId="343F1A22" w:rsidR="00EF6E81" w:rsidRPr="00D023EB" w:rsidRDefault="00EF6E81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przekazanie Wykonawcy protokolarnie terenu, gdzie będą wykonywane roboty, w ciągu 7 dni roboczych od podpisania umowy,</w:t>
      </w:r>
    </w:p>
    <w:p w14:paraId="1E8254E3" w14:textId="5868D60C" w:rsidR="00774957" w:rsidRPr="00D023EB" w:rsidRDefault="00774957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odebranie przedmiotu umowy po sprawdzeniu jego należytego wykonania;</w:t>
      </w:r>
    </w:p>
    <w:p w14:paraId="08FF46C5" w14:textId="77777777" w:rsidR="00774957" w:rsidRPr="00D023EB" w:rsidRDefault="00774957" w:rsidP="00D023EB">
      <w:pPr>
        <w:pStyle w:val="Akapitzlist"/>
        <w:numPr>
          <w:ilvl w:val="0"/>
          <w:numId w:val="18"/>
        </w:numPr>
        <w:tabs>
          <w:tab w:val="num" w:pos="0"/>
        </w:tabs>
        <w:suppressAutoHyphens w:val="0"/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>terminowa zapłata wynagrodzenia za wykonane i odebrane prace.</w:t>
      </w:r>
    </w:p>
    <w:p w14:paraId="17F136AC" w14:textId="2666751F" w:rsidR="005567C7" w:rsidRPr="00D023EB" w:rsidRDefault="005567C7" w:rsidP="00D023EB">
      <w:pPr>
        <w:tabs>
          <w:tab w:val="num" w:pos="72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43A7E2BB" w14:textId="77777777" w:rsidR="00B708A6" w:rsidRPr="00D023EB" w:rsidRDefault="00B708A6" w:rsidP="00D023EB">
      <w:pPr>
        <w:tabs>
          <w:tab w:val="num" w:pos="720"/>
        </w:tabs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BCB1CD5" w14:textId="33A46D67" w:rsidR="005567C7" w:rsidRPr="00D023EB" w:rsidRDefault="005567C7" w:rsidP="00D023EB">
      <w:pPr>
        <w:tabs>
          <w:tab w:val="num" w:pos="720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C488079" w14:textId="1318BEFF" w:rsidR="005567C7" w:rsidRPr="00D023EB" w:rsidRDefault="005567C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Obowiązki Wykonawcy</w:t>
      </w:r>
    </w:p>
    <w:p w14:paraId="60ABF3C0" w14:textId="77777777" w:rsidR="00774957" w:rsidRPr="00D023EB" w:rsidRDefault="0077495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Do obowiązków Wykonawcy należy:</w:t>
      </w:r>
    </w:p>
    <w:p w14:paraId="3FB301CA" w14:textId="38BBE734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terminowe wykonanie robót zgodnie z umową,</w:t>
      </w:r>
    </w:p>
    <w:p w14:paraId="51587195" w14:textId="1CFD4E2C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zapewnienie dozoru mienia na terenie robót na własny koszt,</w:t>
      </w:r>
    </w:p>
    <w:p w14:paraId="490A3ABE" w14:textId="6BD3461F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wykonanie przedmiotu umowy z materiałów odpowiadających wymaganiom określonym </w:t>
      </w:r>
      <w:r w:rsidRPr="00D023EB">
        <w:rPr>
          <w:color w:val="000000" w:themeColor="text1"/>
        </w:rPr>
        <w:br/>
        <w:t>w art. 10 ustawy z dnia 7 lipca 1994 r. Prawo budowlane (tekst jednolity Dz. U. z 2020 r. poz. 1333 ze zm.), okazania, na każde żądanie Zamawiającego, certyfikatów zgodności z polską normą lub aprobatą techniczną każdego używanego na budowie wyrobu,</w:t>
      </w:r>
    </w:p>
    <w:p w14:paraId="287C6E28" w14:textId="6C1CD368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2D865D1C" w14:textId="2ABF3158" w:rsidR="006C4547" w:rsidRPr="00D023EB" w:rsidRDefault="00774957" w:rsidP="00D023EB">
      <w:pPr>
        <w:pStyle w:val="Akapitzlist"/>
        <w:numPr>
          <w:ilvl w:val="0"/>
          <w:numId w:val="20"/>
        </w:numPr>
        <w:suppressAutoHyphens w:val="0"/>
        <w:spacing w:after="0" w:line="240" w:lineRule="auto"/>
        <w:ind w:left="567" w:hanging="283"/>
        <w:jc w:val="both"/>
        <w:rPr>
          <w:color w:val="000000" w:themeColor="text1"/>
        </w:rPr>
      </w:pPr>
      <w:r w:rsidRPr="00D023EB">
        <w:rPr>
          <w:color w:val="000000" w:themeColor="text1"/>
        </w:rPr>
        <w:t>niezwłoczne informowanie Zamawiającego o problemach technicznych i okolicznościach, które mogą wpłynąć na jakość robót lub termin zakończenia robót</w:t>
      </w:r>
    </w:p>
    <w:p w14:paraId="2C4D7DB9" w14:textId="77777777" w:rsidR="006C4547" w:rsidRPr="00D023EB" w:rsidRDefault="006C454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7FDACAA" w14:textId="7CE65B67" w:rsidR="006C4547" w:rsidRPr="00D023EB" w:rsidRDefault="006C4547" w:rsidP="00D023EB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w imieniu Zamawiającego dąży do oszczędnej realizacji inwestycji i zapobiega stratom i marnotrawstwu.</w:t>
      </w:r>
    </w:p>
    <w:p w14:paraId="20BF299B" w14:textId="77777777" w:rsidR="00774957" w:rsidRPr="00D023EB" w:rsidRDefault="00774957" w:rsidP="00D023E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1B47727" w14:textId="619F8AFF" w:rsidR="00892A29" w:rsidRPr="00D023EB" w:rsidRDefault="00892A29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9D6494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34BF7B9" w14:textId="77777777" w:rsidR="00892A29" w:rsidRPr="00D023EB" w:rsidRDefault="00892A29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44F87F1F" w14:textId="2AB96BB9" w:rsidR="00774957" w:rsidRPr="00D023EB" w:rsidRDefault="00774957" w:rsidP="00D023EB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Termin realizacji zamówienia – od dnia podpisania umowy w ciągu </w:t>
      </w:r>
      <w:r w:rsidR="00B708A6" w:rsidRPr="00D023EB">
        <w:rPr>
          <w:rFonts w:ascii="Calibri" w:hAnsi="Calibri" w:cs="Calibri"/>
          <w:bCs/>
          <w:color w:val="000000" w:themeColor="text1"/>
          <w:sz w:val="22"/>
          <w:szCs w:val="22"/>
        </w:rPr>
        <w:t>4</w:t>
      </w:r>
      <w:r w:rsidRPr="00D023EB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miesięcy.</w:t>
      </w:r>
    </w:p>
    <w:p w14:paraId="67EAE831" w14:textId="77777777" w:rsidR="00774957" w:rsidRPr="00D023EB" w:rsidRDefault="00774957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7637ED3" w14:textId="40A44D86" w:rsidR="000633A5" w:rsidRPr="00D023EB" w:rsidRDefault="000633A5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D023E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75225F8" w14:textId="3FE13200" w:rsidR="008441C6" w:rsidRPr="00D023EB" w:rsidRDefault="008441C6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D023EB" w:rsidRDefault="000633A5" w:rsidP="00D023E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S</w:t>
      </w:r>
      <w:r w:rsidRPr="00D023EB">
        <w:rPr>
          <w:color w:val="000000" w:themeColor="text1"/>
          <w:spacing w:val="-1"/>
        </w:rPr>
        <w:t>t</w:t>
      </w:r>
      <w:r w:rsidRPr="00D023EB">
        <w:rPr>
          <w:color w:val="000000" w:themeColor="text1"/>
        </w:rPr>
        <w:t>ro</w:t>
      </w:r>
      <w:r w:rsidRPr="00D023EB">
        <w:rPr>
          <w:color w:val="000000" w:themeColor="text1"/>
          <w:spacing w:val="-2"/>
        </w:rPr>
        <w:t>n</w:t>
      </w:r>
      <w:r w:rsidRPr="00D023EB">
        <w:rPr>
          <w:color w:val="000000" w:themeColor="text1"/>
        </w:rPr>
        <w:t>y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u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>gad</w:t>
      </w:r>
      <w:r w:rsidRPr="00D023EB">
        <w:rPr>
          <w:color w:val="000000" w:themeColor="text1"/>
          <w:spacing w:val="-2"/>
        </w:rPr>
        <w:t>n</w:t>
      </w:r>
      <w:r w:rsidRPr="00D023EB">
        <w:rPr>
          <w:color w:val="000000" w:themeColor="text1"/>
        </w:rPr>
        <w:t>ia</w:t>
      </w:r>
      <w:r w:rsidRPr="00D023EB">
        <w:rPr>
          <w:color w:val="000000" w:themeColor="text1"/>
          <w:spacing w:val="1"/>
        </w:rPr>
        <w:t>j</w:t>
      </w:r>
      <w:r w:rsidRPr="00D023EB">
        <w:rPr>
          <w:color w:val="000000" w:themeColor="text1"/>
        </w:rPr>
        <w:t>ą za</w:t>
      </w:r>
      <w:r w:rsidRPr="00D023EB">
        <w:rPr>
          <w:color w:val="000000" w:themeColor="text1"/>
          <w:spacing w:val="1"/>
        </w:rPr>
        <w:t xml:space="preserve"> </w:t>
      </w:r>
      <w:r w:rsidRPr="00D023EB">
        <w:rPr>
          <w:color w:val="000000" w:themeColor="text1"/>
        </w:rPr>
        <w:t>wy</w:t>
      </w:r>
      <w:r w:rsidRPr="00D023EB">
        <w:rPr>
          <w:color w:val="000000" w:themeColor="text1"/>
          <w:spacing w:val="-4"/>
        </w:rPr>
        <w:t>k</w:t>
      </w:r>
      <w:r w:rsidRPr="00D023EB">
        <w:rPr>
          <w:color w:val="000000" w:themeColor="text1"/>
        </w:rPr>
        <w:t>onanie pr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d</w:t>
      </w:r>
      <w:r w:rsidRPr="00D023EB">
        <w:rPr>
          <w:color w:val="000000" w:themeColor="text1"/>
          <w:spacing w:val="1"/>
        </w:rPr>
        <w:t>m</w:t>
      </w:r>
      <w:r w:rsidRPr="00D023EB">
        <w:rPr>
          <w:color w:val="000000" w:themeColor="text1"/>
        </w:rPr>
        <w:t>iotu u</w:t>
      </w:r>
      <w:r w:rsidRPr="00D023EB">
        <w:rPr>
          <w:color w:val="000000" w:themeColor="text1"/>
          <w:spacing w:val="1"/>
        </w:rPr>
        <w:t>m</w:t>
      </w:r>
      <w:r w:rsidRPr="00D023EB">
        <w:rPr>
          <w:color w:val="000000" w:themeColor="text1"/>
        </w:rPr>
        <w:t>owy okr</w:t>
      </w:r>
      <w:r w:rsidRPr="00D023EB">
        <w:rPr>
          <w:color w:val="000000" w:themeColor="text1"/>
          <w:spacing w:val="1"/>
        </w:rPr>
        <w:t>e</w:t>
      </w:r>
      <w:r w:rsidRPr="00D023EB">
        <w:rPr>
          <w:color w:val="000000" w:themeColor="text1"/>
          <w:spacing w:val="-1"/>
        </w:rPr>
        <w:t>ś</w:t>
      </w:r>
      <w:r w:rsidRPr="00D023EB">
        <w:rPr>
          <w:color w:val="000000" w:themeColor="text1"/>
        </w:rPr>
        <w:t>lon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go w</w:t>
      </w:r>
      <w:r w:rsidRPr="00D023EB">
        <w:rPr>
          <w:color w:val="000000" w:themeColor="text1"/>
          <w:spacing w:val="1"/>
        </w:rPr>
        <w:t xml:space="preserve"> </w:t>
      </w:r>
      <w:r w:rsidRPr="00D023EB">
        <w:rPr>
          <w:color w:val="000000" w:themeColor="text1"/>
        </w:rPr>
        <w:t>§</w:t>
      </w:r>
      <w:r w:rsidRPr="00D023EB">
        <w:rPr>
          <w:color w:val="000000" w:themeColor="text1"/>
          <w:spacing w:val="-1"/>
        </w:rPr>
        <w:t xml:space="preserve"> 1</w:t>
      </w:r>
      <w:r w:rsidRPr="00D023EB">
        <w:rPr>
          <w:color w:val="000000" w:themeColor="text1"/>
        </w:rPr>
        <w:t>, wynagrod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n</w:t>
      </w:r>
      <w:r w:rsidRPr="00D023EB">
        <w:rPr>
          <w:color w:val="000000" w:themeColor="text1"/>
          <w:spacing w:val="2"/>
        </w:rPr>
        <w:t>i</w:t>
      </w:r>
      <w:r w:rsidRPr="00D023EB">
        <w:rPr>
          <w:color w:val="000000" w:themeColor="text1"/>
        </w:rPr>
        <w:t>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r</w:t>
      </w:r>
      <w:r w:rsidRPr="00D023EB">
        <w:rPr>
          <w:color w:val="000000" w:themeColor="text1"/>
          <w:spacing w:val="-2"/>
        </w:rPr>
        <w:t>y</w:t>
      </w:r>
      <w:r w:rsidRPr="00D023EB">
        <w:rPr>
          <w:color w:val="000000" w:themeColor="text1"/>
          <w:spacing w:val="1"/>
        </w:rPr>
        <w:t>c</w:t>
      </w:r>
      <w:r w:rsidRPr="00D023EB">
        <w:rPr>
          <w:color w:val="000000" w:themeColor="text1"/>
        </w:rPr>
        <w:t>z</w:t>
      </w:r>
      <w:r w:rsidRPr="00D023EB">
        <w:rPr>
          <w:color w:val="000000" w:themeColor="text1"/>
          <w:spacing w:val="2"/>
        </w:rPr>
        <w:t>a</w:t>
      </w:r>
      <w:r w:rsidRPr="00D023EB">
        <w:rPr>
          <w:color w:val="000000" w:themeColor="text1"/>
          <w:spacing w:val="-2"/>
        </w:rPr>
        <w:t>ł</w:t>
      </w:r>
      <w:r w:rsidRPr="00D023EB">
        <w:rPr>
          <w:color w:val="000000" w:themeColor="text1"/>
        </w:rPr>
        <w:t>to</w:t>
      </w:r>
      <w:r w:rsidRPr="00D023EB">
        <w:rPr>
          <w:color w:val="000000" w:themeColor="text1"/>
          <w:spacing w:val="2"/>
        </w:rPr>
        <w:t>w</w:t>
      </w:r>
      <w:r w:rsidRPr="00D023EB">
        <w:rPr>
          <w:color w:val="000000" w:themeColor="text1"/>
        </w:rPr>
        <w:t>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u</w:t>
      </w:r>
      <w:r w:rsidRPr="00D023EB">
        <w:rPr>
          <w:color w:val="000000" w:themeColor="text1"/>
          <w:spacing w:val="1"/>
        </w:rPr>
        <w:t>s</w:t>
      </w:r>
      <w:r w:rsidRPr="00D023EB">
        <w:rPr>
          <w:color w:val="000000" w:themeColor="text1"/>
        </w:rPr>
        <w:t>talone</w:t>
      </w:r>
      <w:r w:rsidRPr="00D023EB">
        <w:rPr>
          <w:color w:val="000000" w:themeColor="text1"/>
          <w:spacing w:val="-1"/>
        </w:rPr>
        <w:t xml:space="preserve"> </w:t>
      </w:r>
      <w:r w:rsidRPr="00D023EB">
        <w:rPr>
          <w:color w:val="000000" w:themeColor="text1"/>
        </w:rPr>
        <w:t>na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  <w:spacing w:val="-1"/>
        </w:rPr>
        <w:t>p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-1"/>
        </w:rPr>
        <w:t>d</w:t>
      </w:r>
      <w:r w:rsidRPr="00D023EB">
        <w:rPr>
          <w:color w:val="000000" w:themeColor="text1"/>
          <w:spacing w:val="1"/>
        </w:rPr>
        <w:t>st</w:t>
      </w:r>
      <w:r w:rsidRPr="00D023EB">
        <w:rPr>
          <w:color w:val="000000" w:themeColor="text1"/>
          <w:spacing w:val="-2"/>
        </w:rPr>
        <w:t>a</w:t>
      </w:r>
      <w:r w:rsidRPr="00D023EB">
        <w:rPr>
          <w:color w:val="000000" w:themeColor="text1"/>
        </w:rPr>
        <w:t xml:space="preserve">wie </w:t>
      </w:r>
      <w:r w:rsidRPr="00D023EB">
        <w:rPr>
          <w:color w:val="000000" w:themeColor="text1"/>
          <w:spacing w:val="-4"/>
        </w:rPr>
        <w:t>formularza</w:t>
      </w:r>
      <w:r w:rsidRPr="00D023EB">
        <w:rPr>
          <w:color w:val="000000" w:themeColor="text1"/>
        </w:rPr>
        <w:t xml:space="preserve"> of</w:t>
      </w:r>
      <w:r w:rsidRPr="00D023EB">
        <w:rPr>
          <w:color w:val="000000" w:themeColor="text1"/>
          <w:spacing w:val="1"/>
        </w:rPr>
        <w:t>e</w:t>
      </w:r>
      <w:r w:rsidRPr="00D023EB">
        <w:rPr>
          <w:color w:val="000000" w:themeColor="text1"/>
        </w:rPr>
        <w:t>rtow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 xml:space="preserve">go, 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>g</w:t>
      </w:r>
      <w:r w:rsidRPr="00D023EB">
        <w:rPr>
          <w:color w:val="000000" w:themeColor="text1"/>
          <w:spacing w:val="-2"/>
        </w:rPr>
        <w:t>o</w:t>
      </w:r>
      <w:r w:rsidRPr="00D023EB">
        <w:rPr>
          <w:color w:val="000000" w:themeColor="text1"/>
        </w:rPr>
        <w:t xml:space="preserve">dnie </w:t>
      </w:r>
      <w:r w:rsidRPr="00D023EB">
        <w:rPr>
          <w:color w:val="000000" w:themeColor="text1"/>
          <w:spacing w:val="-2"/>
        </w:rPr>
        <w:t>z</w:t>
      </w:r>
      <w:r w:rsidRPr="00D023EB">
        <w:rPr>
          <w:color w:val="000000" w:themeColor="text1"/>
        </w:rPr>
        <w:t xml:space="preserve">e </w:t>
      </w:r>
      <w:r w:rsidRPr="00D023EB">
        <w:rPr>
          <w:color w:val="000000" w:themeColor="text1"/>
          <w:spacing w:val="2"/>
        </w:rPr>
        <w:t>z</w:t>
      </w:r>
      <w:r w:rsidRPr="00D023EB">
        <w:rPr>
          <w:color w:val="000000" w:themeColor="text1"/>
          <w:spacing w:val="-2"/>
        </w:rPr>
        <w:t>ł</w:t>
      </w:r>
      <w:r w:rsidRPr="00D023EB">
        <w:rPr>
          <w:color w:val="000000" w:themeColor="text1"/>
          <w:spacing w:val="1"/>
        </w:rPr>
        <w:t>o</w:t>
      </w:r>
      <w:r w:rsidRPr="00D023EB">
        <w:rPr>
          <w:color w:val="000000" w:themeColor="text1"/>
        </w:rPr>
        <w:t>żoną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of</w:t>
      </w:r>
      <w:r w:rsidRPr="00D023EB">
        <w:rPr>
          <w:color w:val="000000" w:themeColor="text1"/>
          <w:spacing w:val="-1"/>
        </w:rPr>
        <w:t>e</w:t>
      </w:r>
      <w:r w:rsidRPr="00D023EB">
        <w:rPr>
          <w:color w:val="000000" w:themeColor="text1"/>
        </w:rPr>
        <w:t>r</w:t>
      </w:r>
      <w:r w:rsidRPr="00D023EB">
        <w:rPr>
          <w:color w:val="000000" w:themeColor="text1"/>
          <w:spacing w:val="1"/>
        </w:rPr>
        <w:t>t</w:t>
      </w:r>
      <w:r w:rsidRPr="00D023EB">
        <w:rPr>
          <w:color w:val="000000" w:themeColor="text1"/>
        </w:rPr>
        <w:t xml:space="preserve">ą </w:t>
      </w:r>
      <w:r w:rsidRPr="00D023EB">
        <w:rPr>
          <w:color w:val="000000" w:themeColor="text1"/>
          <w:spacing w:val="-7"/>
        </w:rPr>
        <w:t>W</w:t>
      </w:r>
      <w:r w:rsidRPr="00D023EB">
        <w:rPr>
          <w:color w:val="000000" w:themeColor="text1"/>
        </w:rPr>
        <w:t>y</w:t>
      </w:r>
      <w:r w:rsidRPr="00D023EB">
        <w:rPr>
          <w:color w:val="000000" w:themeColor="text1"/>
          <w:spacing w:val="-2"/>
        </w:rPr>
        <w:t>k</w:t>
      </w:r>
      <w:r w:rsidRPr="00D023EB">
        <w:rPr>
          <w:color w:val="000000" w:themeColor="text1"/>
        </w:rPr>
        <w:t>on</w:t>
      </w:r>
      <w:r w:rsidRPr="00D023EB">
        <w:rPr>
          <w:color w:val="000000" w:themeColor="text1"/>
          <w:spacing w:val="-2"/>
        </w:rPr>
        <w:t>a</w:t>
      </w:r>
      <w:r w:rsidRPr="00D023EB">
        <w:rPr>
          <w:color w:val="000000" w:themeColor="text1"/>
        </w:rPr>
        <w:t>w</w:t>
      </w:r>
      <w:r w:rsidRPr="00D023EB">
        <w:rPr>
          <w:color w:val="000000" w:themeColor="text1"/>
          <w:spacing w:val="1"/>
        </w:rPr>
        <w:t>c</w:t>
      </w:r>
      <w:r w:rsidRPr="00D023EB">
        <w:rPr>
          <w:color w:val="000000" w:themeColor="text1"/>
          <w:spacing w:val="-24"/>
        </w:rPr>
        <w:t>y</w:t>
      </w:r>
      <w:r w:rsidRPr="00D023EB">
        <w:rPr>
          <w:color w:val="000000" w:themeColor="text1"/>
        </w:rPr>
        <w:t>,</w:t>
      </w:r>
      <w:r w:rsidRPr="00D023EB">
        <w:rPr>
          <w:color w:val="000000" w:themeColor="text1"/>
          <w:spacing w:val="2"/>
        </w:rPr>
        <w:t xml:space="preserve"> </w:t>
      </w:r>
      <w:r w:rsidRPr="00D023EB">
        <w:rPr>
          <w:color w:val="000000" w:themeColor="text1"/>
        </w:rPr>
        <w:t>w wy</w:t>
      </w:r>
      <w:r w:rsidRPr="00D023EB">
        <w:rPr>
          <w:color w:val="000000" w:themeColor="text1"/>
          <w:spacing w:val="1"/>
        </w:rPr>
        <w:t>s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-4"/>
        </w:rPr>
        <w:t>k</w:t>
      </w:r>
      <w:r w:rsidRPr="00D023EB">
        <w:rPr>
          <w:color w:val="000000" w:themeColor="text1"/>
        </w:rPr>
        <w:t>o</w:t>
      </w:r>
      <w:r w:rsidRPr="00D023EB">
        <w:rPr>
          <w:color w:val="000000" w:themeColor="text1"/>
          <w:spacing w:val="1"/>
        </w:rPr>
        <w:t>ś</w:t>
      </w:r>
      <w:r w:rsidRPr="00D023EB">
        <w:rPr>
          <w:color w:val="000000" w:themeColor="text1"/>
          <w:spacing w:val="-1"/>
        </w:rPr>
        <w:t>c</w:t>
      </w:r>
      <w:r w:rsidRPr="00D023EB">
        <w:rPr>
          <w:color w:val="000000" w:themeColor="text1"/>
        </w:rPr>
        <w:t>i:</w:t>
      </w:r>
    </w:p>
    <w:p w14:paraId="73306800" w14:textId="6624C76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n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ett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</w:t>
      </w:r>
      <w:r w:rsidR="00892A29"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……………………………………..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…..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pl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u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pacing w:val="3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oda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te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8"/>
          <w:sz w:val="22"/>
          <w:szCs w:val="22"/>
        </w:rPr>
        <w:t>V</w:t>
      </w:r>
      <w:r w:rsidRPr="00D023EB">
        <w:rPr>
          <w:rFonts w:ascii="Calibri" w:hAnsi="Calibri" w:cs="Calibri"/>
          <w:color w:val="000000" w:themeColor="text1"/>
          <w:spacing w:val="-14"/>
          <w:sz w:val="22"/>
          <w:szCs w:val="22"/>
        </w:rPr>
        <w:t>A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T wg</w:t>
      </w:r>
      <w:r w:rsidRPr="00D023E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o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bowiązu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j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ą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y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h pr</w:t>
      </w:r>
      <w:r w:rsidRPr="00D023EB">
        <w:rPr>
          <w:rFonts w:ascii="Calibri" w:hAnsi="Calibri" w:cs="Calibri"/>
          <w:color w:val="000000" w:themeColor="text1"/>
          <w:spacing w:val="-2"/>
          <w:sz w:val="22"/>
          <w:szCs w:val="22"/>
        </w:rPr>
        <w:t>z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e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pi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ów</w:t>
      </w:r>
    </w:p>
    <w:p w14:paraId="2C550899" w14:textId="4BE2D50F" w:rsidR="000633A5" w:rsidRPr="00D023EB" w:rsidRDefault="000633A5" w:rsidP="00D023EB">
      <w:pPr>
        <w:ind w:left="709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dat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k</w:t>
      </w:r>
      <w:r w:rsidRPr="00D023EB">
        <w:rPr>
          <w:rFonts w:ascii="Calibri" w:hAnsi="Calibri" w:cs="Calibr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V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AT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wyno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>s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i …….</w:t>
      </w:r>
      <w:r w:rsidRPr="00D023EB">
        <w:rPr>
          <w:rFonts w:ascii="Calibri" w:hAnsi="Calibri" w:cs="Calibri"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%, </w:t>
      </w:r>
      <w:r w:rsidRPr="00D023EB">
        <w:rPr>
          <w:rFonts w:ascii="Calibri" w:hAnsi="Calibri" w:cs="Calibri"/>
          <w:color w:val="000000" w:themeColor="text1"/>
          <w:spacing w:val="-1"/>
          <w:sz w:val="22"/>
          <w:szCs w:val="22"/>
        </w:rPr>
        <w:t>c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zyli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….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D023EB" w:rsidRDefault="000633A5" w:rsidP="00D023EB">
      <w:pPr>
        <w:ind w:left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pacing w:val="-1"/>
          <w:sz w:val="22"/>
          <w:szCs w:val="22"/>
        </w:rPr>
        <w:t>brutto</w:t>
      </w: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: 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</w:t>
      </w:r>
      <w:r w:rsidR="00892A29"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………………………………….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…………..</w:t>
      </w:r>
      <w:r w:rsidRPr="00D023EB">
        <w:rPr>
          <w:rFonts w:ascii="Calibri" w:hAnsi="Calibri" w:cs="Calibri"/>
          <w:b/>
          <w:color w:val="000000" w:themeColor="text1"/>
          <w:spacing w:val="1"/>
          <w:sz w:val="22"/>
          <w:szCs w:val="22"/>
        </w:rPr>
        <w:t xml:space="preserve"> </w:t>
      </w:r>
      <w:r w:rsidRPr="00D023EB">
        <w:rPr>
          <w:rFonts w:ascii="Calibri" w:hAnsi="Calibri" w:cs="Calibri"/>
          <w:b/>
          <w:color w:val="000000" w:themeColor="text1"/>
          <w:spacing w:val="2"/>
          <w:sz w:val="22"/>
          <w:szCs w:val="22"/>
        </w:rPr>
        <w:t>z</w:t>
      </w: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ł</w:t>
      </w:r>
    </w:p>
    <w:p w14:paraId="6EA27D5A" w14:textId="77777777" w:rsidR="000633A5" w:rsidRPr="00D023EB" w:rsidRDefault="000633A5" w:rsidP="00D023EB">
      <w:pPr>
        <w:ind w:left="709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>(</w:t>
      </w:r>
      <w:r w:rsidRPr="00D023EB">
        <w:rPr>
          <w:rFonts w:ascii="Calibri" w:hAnsi="Calibri" w:cs="Calibri"/>
          <w:i/>
          <w:iCs/>
          <w:color w:val="000000" w:themeColor="text1"/>
          <w:spacing w:val="3"/>
          <w:sz w:val="22"/>
          <w:szCs w:val="22"/>
        </w:rPr>
        <w:t>s</w:t>
      </w:r>
      <w:r w:rsidRPr="00D023EB">
        <w:rPr>
          <w:rFonts w:ascii="Calibri" w:hAnsi="Calibri" w:cs="Calibri"/>
          <w:i/>
          <w:iCs/>
          <w:color w:val="000000" w:themeColor="text1"/>
          <w:spacing w:val="-2"/>
          <w:sz w:val="22"/>
          <w:szCs w:val="22"/>
        </w:rPr>
        <w:t>ł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owni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e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:</w:t>
      </w:r>
      <w:r w:rsidRPr="00D023EB">
        <w:rPr>
          <w:rFonts w:ascii="Calibri" w:hAnsi="Calibri" w:cs="Calibr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D023EB">
        <w:rPr>
          <w:rFonts w:ascii="Calibri" w:hAnsi="Calibri" w:cs="Calibr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D023EB">
        <w:rPr>
          <w:rFonts w:ascii="Calibri" w:hAnsi="Calibri" w:cs="Calibri"/>
          <w:i/>
          <w:iCs/>
          <w:color w:val="000000" w:themeColor="text1"/>
          <w:sz w:val="22"/>
          <w:szCs w:val="22"/>
        </w:rPr>
        <w:t>)</w:t>
      </w:r>
    </w:p>
    <w:p w14:paraId="11220021" w14:textId="0EF855F5" w:rsidR="00A0697F" w:rsidRPr="00D023EB" w:rsidRDefault="000633A5" w:rsidP="00D023EB">
      <w:pPr>
        <w:pStyle w:val="Akapitzlist1"/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Wynagrodzenie </w:t>
      </w:r>
      <w:r w:rsidR="007F167A" w:rsidRPr="00D023EB">
        <w:rPr>
          <w:rFonts w:ascii="Calibri" w:hAnsi="Calibri" w:cs="Calibri"/>
          <w:color w:val="000000" w:themeColor="text1"/>
          <w:sz w:val="22"/>
          <w:szCs w:val="22"/>
        </w:rPr>
        <w:t>ryczałtowe, o którym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mowa w ust. 1 obejmuje wszystkie koszty związane z</w:t>
      </w:r>
      <w:r w:rsidR="00A0697F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realizacją niniejszej umowy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, w tym ryzyko Wykonawcy z tytułu oszacowania wszelkich kosztów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lastRenderedPageBreak/>
        <w:t>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376CD733" w:rsidR="00A93AB4" w:rsidRPr="00D023EB" w:rsidRDefault="001B6D63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Za</w:t>
      </w:r>
      <w:r w:rsidR="00946382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płata wynagrodzenia za wykonanie </w:t>
      </w:r>
      <w:r w:rsidR="00A0697F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przedmiotu umowy </w:t>
      </w:r>
      <w:r w:rsidR="00E10023" w:rsidRPr="00D023EB">
        <w:rPr>
          <w:rFonts w:ascii="Calibri" w:hAnsi="Calibri" w:cs="Calibri"/>
          <w:color w:val="000000" w:themeColor="text1"/>
          <w:sz w:val="22"/>
          <w:szCs w:val="22"/>
        </w:rPr>
        <w:t>nastąpi jednorazowo.</w:t>
      </w:r>
    </w:p>
    <w:p w14:paraId="20AC54A0" w14:textId="4809DD57" w:rsidR="00A93AB4" w:rsidRPr="00D023EB" w:rsidRDefault="001B6D63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w wystawionej przez niego fakturze </w:t>
      </w:r>
      <w:r w:rsidR="00050006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VAT</w:t>
      </w:r>
      <w:r w:rsidR="00E10023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, w terminie do </w:t>
      </w:r>
      <w:r w:rsidR="00F43263" w:rsidRPr="00D023EB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0633A5"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dni od </w:t>
      </w:r>
      <w:r w:rsidR="00050006" w:rsidRPr="00D023EB">
        <w:rPr>
          <w:rFonts w:ascii="Calibri" w:hAnsi="Calibri" w:cs="Calibri"/>
          <w:color w:val="000000" w:themeColor="text1"/>
          <w:sz w:val="22"/>
          <w:szCs w:val="22"/>
        </w:rPr>
        <w:t>dnia następującego po dniu doręczenia Zamawiającemu prawidłowo wystawionej faktury.</w:t>
      </w:r>
    </w:p>
    <w:p w14:paraId="7B9A1E3D" w14:textId="3D7D269A" w:rsidR="00A93AB4" w:rsidRPr="00D023EB" w:rsidRDefault="00050BEB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053EAD2D" w14:textId="01FDE829" w:rsidR="00050006" w:rsidRPr="00D023EB" w:rsidRDefault="00050006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0B7C7B9E" w14:textId="01BE2A9E" w:rsidR="004037D6" w:rsidRPr="00D023EB" w:rsidRDefault="000633A5" w:rsidP="00D023EB">
      <w:pPr>
        <w:pStyle w:val="Akapitzlist1"/>
        <w:numPr>
          <w:ilvl w:val="0"/>
          <w:numId w:val="5"/>
        </w:numPr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Czynności wykonywane przez Wykonawcę w trakcie odbiorów gwarancyjnych i pogwarancyjnych stanowią część jego obowiązków umownych.</w:t>
      </w:r>
    </w:p>
    <w:p w14:paraId="26341825" w14:textId="77777777" w:rsidR="00F140BE" w:rsidRPr="00D023EB" w:rsidRDefault="00F140BE" w:rsidP="00D023E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A2B312A" w14:textId="7A3EF54D" w:rsidR="008441C6" w:rsidRPr="00D023EB" w:rsidRDefault="008441C6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D023EB" w:rsidRDefault="008441C6" w:rsidP="00D023E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D023EB" w:rsidRDefault="008441C6" w:rsidP="00D023EB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D023EB">
        <w:rPr>
          <w:color w:val="000000" w:themeColor="text1"/>
        </w:rPr>
        <w:t xml:space="preserve">Przedstawiciel </w:t>
      </w:r>
      <w:r w:rsidR="00774957" w:rsidRPr="00D023EB">
        <w:rPr>
          <w:color w:val="000000" w:themeColor="text1"/>
        </w:rPr>
        <w:t>Wykonawcy</w:t>
      </w:r>
      <w:r w:rsidR="00A0697F" w:rsidRPr="00D023EB">
        <w:rPr>
          <w:color w:val="000000" w:themeColor="text1"/>
        </w:rPr>
        <w:t>:</w:t>
      </w:r>
    </w:p>
    <w:p w14:paraId="51C99EA0" w14:textId="77777777" w:rsidR="00F140BE" w:rsidRPr="00D023EB" w:rsidRDefault="00A0697F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D023EB" w:rsidRDefault="00A0697F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D023EB" w:rsidRDefault="00774957" w:rsidP="00D023EB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D023EB">
        <w:rPr>
          <w:color w:val="000000" w:themeColor="text1"/>
        </w:rPr>
        <w:t>Przedstawiciel Zamawiającego:</w:t>
      </w:r>
    </w:p>
    <w:p w14:paraId="33B20520" w14:textId="77777777" w:rsidR="00774957" w:rsidRPr="00D023EB" w:rsidRDefault="00774957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04FC145" w14:textId="53A0D286" w:rsidR="00774957" w:rsidRPr="00D023EB" w:rsidRDefault="00774957" w:rsidP="00D023EB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D023E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7777777" w:rsidR="008441C6" w:rsidRPr="00D023EB" w:rsidRDefault="008441C6" w:rsidP="00D023EB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7F1FF04" w14:textId="5C559331" w:rsidR="007577E3" w:rsidRPr="00D023EB" w:rsidRDefault="007577E3" w:rsidP="00D023EB">
      <w:pPr>
        <w:tabs>
          <w:tab w:val="left" w:pos="284"/>
        </w:tabs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7</w:t>
      </w:r>
      <w:r w:rsidR="006C4547"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79D119D0" w14:textId="77777777" w:rsidR="007577E3" w:rsidRPr="00D023EB" w:rsidRDefault="007577E3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D023EB" w:rsidRDefault="007577E3" w:rsidP="00D023EB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Strony zgodnie postanawiają, że będą stosowane następujące rodzaje odbiorów robót:</w:t>
      </w:r>
    </w:p>
    <w:p w14:paraId="0F83DC78" w14:textId="26027F3E" w:rsidR="007577E3" w:rsidRPr="00D023EB" w:rsidRDefault="00FD424F" w:rsidP="00D023EB">
      <w:pPr>
        <w:pStyle w:val="Akapitzlist"/>
        <w:numPr>
          <w:ilvl w:val="0"/>
          <w:numId w:val="23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o</w:t>
      </w:r>
      <w:r w:rsidR="007577E3" w:rsidRPr="00D023EB">
        <w:rPr>
          <w:color w:val="000000" w:themeColor="text1"/>
        </w:rPr>
        <w:t>dbiór końcowy</w:t>
      </w:r>
      <w:r w:rsidRPr="00D023EB">
        <w:rPr>
          <w:color w:val="000000" w:themeColor="text1"/>
        </w:rPr>
        <w:t>.</w:t>
      </w:r>
    </w:p>
    <w:p w14:paraId="50ADA329" w14:textId="6CCDC8AD" w:rsidR="007577E3" w:rsidRPr="00D023EB" w:rsidRDefault="007577E3" w:rsidP="00D023EB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Wykonawca zawiadomi Zamawiającego na piśmie o osiągnięciu gotowości przedmiotu umowy do </w:t>
      </w:r>
      <w:r w:rsidR="00FD424F" w:rsidRPr="00D023EB">
        <w:rPr>
          <w:color w:val="000000" w:themeColor="text1"/>
        </w:rPr>
        <w:t xml:space="preserve">odbioru </w:t>
      </w:r>
      <w:r w:rsidRPr="00D023EB">
        <w:rPr>
          <w:color w:val="000000" w:themeColor="text1"/>
        </w:rPr>
        <w:t>końcowego.</w:t>
      </w:r>
    </w:p>
    <w:p w14:paraId="3059453F" w14:textId="77777777" w:rsidR="007577E3" w:rsidRPr="00D023EB" w:rsidRDefault="007577E3" w:rsidP="00D023EB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Wraz ze zgłoszeniem do odbioru końcowego Wykonawca przekaże Zamawiającemu następujące dokumenty:</w:t>
      </w:r>
    </w:p>
    <w:p w14:paraId="6BC24432" w14:textId="77777777" w:rsidR="007577E3" w:rsidRPr="00D023EB" w:rsidRDefault="007577E3" w:rsidP="00D023EB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 o zgodności wykonania robót z projektem budowlanym i z obowiązującymi przepisami oraz warunkami realizacji zamówienia,</w:t>
      </w:r>
    </w:p>
    <w:p w14:paraId="16BF28DA" w14:textId="77777777" w:rsidR="007577E3" w:rsidRPr="00D023EB" w:rsidRDefault="007577E3" w:rsidP="00D023EB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3E8F023F" w14:textId="77777777" w:rsidR="007577E3" w:rsidRPr="00D023EB" w:rsidRDefault="007577E3" w:rsidP="00D023EB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dokumenty (atesty, certyfikaty) potwierdzające, że wbudowane wyroby budowlane </w:t>
      </w:r>
      <w:r w:rsidRPr="00D023EB">
        <w:rPr>
          <w:color w:val="000000" w:themeColor="text1"/>
        </w:rPr>
        <w:br/>
        <w:t>są zgodne z art. 10 ustawy Prawo budowlane (opisane i ostemplowane przez Wykonawcę),</w:t>
      </w:r>
    </w:p>
    <w:p w14:paraId="0F55F691" w14:textId="77777777" w:rsidR="007577E3" w:rsidRPr="00D023EB" w:rsidRDefault="007577E3" w:rsidP="00D023EB">
      <w:pPr>
        <w:pStyle w:val="Akapitzlist"/>
        <w:numPr>
          <w:ilvl w:val="0"/>
          <w:numId w:val="24"/>
        </w:numPr>
        <w:suppressAutoHyphens w:val="0"/>
        <w:spacing w:after="0" w:line="240" w:lineRule="auto"/>
        <w:ind w:left="1134"/>
        <w:jc w:val="both"/>
        <w:rPr>
          <w:color w:val="000000" w:themeColor="text1"/>
        </w:rPr>
      </w:pPr>
      <w:r w:rsidRPr="00D023EB">
        <w:rPr>
          <w:color w:val="000000" w:themeColor="text1"/>
        </w:rPr>
        <w:t>inwentaryzację geodezyjną powykonawczą.</w:t>
      </w:r>
    </w:p>
    <w:p w14:paraId="6FE0DDAF" w14:textId="77777777" w:rsidR="007577E3" w:rsidRPr="00D023EB" w:rsidRDefault="007577E3" w:rsidP="00D023EB">
      <w:pPr>
        <w:pStyle w:val="Akapitzlist"/>
        <w:numPr>
          <w:ilvl w:val="0"/>
          <w:numId w:val="26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wyznaczy i rozpocznie czynności odbioru końcowego w terminie do 5 dni roboczych od daty zawiadomienia go o osiągnięciu gotowości do odbioru końcowego.</w:t>
      </w:r>
    </w:p>
    <w:p w14:paraId="20A56794" w14:textId="77777777" w:rsidR="007577E3" w:rsidRPr="00D023EB" w:rsidRDefault="007577E3" w:rsidP="00D023EB">
      <w:pPr>
        <w:pStyle w:val="Akapitzlist"/>
        <w:numPr>
          <w:ilvl w:val="0"/>
          <w:numId w:val="26"/>
        </w:numPr>
        <w:tabs>
          <w:tab w:val="num" w:pos="284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Zamawiający zobowiązany jest do dokonania lub odmowy dokonania odbioru końcowego, </w:t>
      </w:r>
      <w:r w:rsidRPr="00D023EB">
        <w:rPr>
          <w:color w:val="000000" w:themeColor="text1"/>
        </w:rPr>
        <w:br/>
        <w:t>w terminie 30 dni od dnia rozpoczęcia tego odbioru.</w:t>
      </w:r>
    </w:p>
    <w:p w14:paraId="04836CEA" w14:textId="2D47136B" w:rsidR="007577E3" w:rsidRPr="00D023EB" w:rsidRDefault="007577E3" w:rsidP="00D023EB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Za datę wykonania przez Wykonawcę zobowiązania wynikającego z niniejszej </w:t>
      </w:r>
      <w:r w:rsidR="00FD424F" w:rsidRPr="00D023EB">
        <w:rPr>
          <w:color w:val="000000" w:themeColor="text1"/>
        </w:rPr>
        <w:t>u</w:t>
      </w:r>
      <w:r w:rsidRPr="00D023EB">
        <w:rPr>
          <w:color w:val="000000" w:themeColor="text1"/>
        </w:rPr>
        <w:t>mowy, uznaje się datę odbioru, stwierdzoną w protokole odbioru końcowego.</w:t>
      </w:r>
    </w:p>
    <w:p w14:paraId="40F5FFCF" w14:textId="77777777" w:rsidR="007577E3" w:rsidRPr="00D023EB" w:rsidRDefault="007577E3" w:rsidP="00D023EB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86387E2" w14:textId="77777777" w:rsidR="007577E3" w:rsidRPr="00D023EB" w:rsidRDefault="007577E3" w:rsidP="00D023EB">
      <w:pPr>
        <w:pStyle w:val="Akapitzlist"/>
        <w:numPr>
          <w:ilvl w:val="0"/>
          <w:numId w:val="26"/>
        </w:numPr>
        <w:tabs>
          <w:tab w:val="num" w:pos="284"/>
          <w:tab w:val="left" w:pos="900"/>
        </w:tabs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lastRenderedPageBreak/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21C3BB7" w14:textId="77777777" w:rsidR="00774957" w:rsidRPr="00D023EB" w:rsidRDefault="00774957" w:rsidP="00D023EB">
      <w:pPr>
        <w:pStyle w:val="Tekstpodstawowy2"/>
        <w:spacing w:after="0" w:line="240" w:lineRule="auto"/>
        <w:rPr>
          <w:b/>
          <w:bCs/>
          <w:color w:val="000000" w:themeColor="text1"/>
        </w:rPr>
      </w:pPr>
    </w:p>
    <w:p w14:paraId="302B9613" w14:textId="59FCA155" w:rsidR="00774957" w:rsidRPr="00D023EB" w:rsidRDefault="00774957" w:rsidP="00D023E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 xml:space="preserve">§ </w:t>
      </w:r>
      <w:r w:rsidR="006C4547" w:rsidRPr="00D023EB">
        <w:rPr>
          <w:b/>
          <w:bCs/>
          <w:color w:val="000000" w:themeColor="text1"/>
        </w:rPr>
        <w:t>8.</w:t>
      </w:r>
    </w:p>
    <w:p w14:paraId="13293265" w14:textId="77777777" w:rsidR="00774957" w:rsidRPr="00D023EB" w:rsidRDefault="00774957" w:rsidP="00D023E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E7EF7DA" w14:textId="77777777" w:rsidR="00774957" w:rsidRPr="00D023EB" w:rsidRDefault="00774957" w:rsidP="00D023EB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udziela Zamawiającemu gwarancji jakości wykonania przedmiotu umowy na okres 36 miesięcy od dnia podpisania protokołu odbioru końcowego.</w:t>
      </w:r>
    </w:p>
    <w:p w14:paraId="57F731A6" w14:textId="52E48760" w:rsidR="00774957" w:rsidRPr="00D023EB" w:rsidRDefault="00774957" w:rsidP="00D023EB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 okresie gwarancji Wykonawca zobowiązuje się do bezpłatnego usunięcia wad i usterek w terminie 10 dni licząc od daty pisemnego (</w:t>
      </w:r>
      <w:r w:rsidR="0052457D" w:rsidRPr="00D023EB">
        <w:rPr>
          <w:color w:val="000000" w:themeColor="text1"/>
        </w:rPr>
        <w:t>pocztą lub mejlem</w:t>
      </w:r>
      <w:r w:rsidRPr="00D023EB">
        <w:rPr>
          <w:color w:val="000000" w:themeColor="text1"/>
        </w:rPr>
        <w:t xml:space="preserve">) powiadomienia przez Zamawiającego.  </w:t>
      </w:r>
    </w:p>
    <w:p w14:paraId="413883C6" w14:textId="77777777" w:rsidR="00774957" w:rsidRPr="00D023EB" w:rsidRDefault="00774957" w:rsidP="00D023EB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240DEF" w14:textId="77777777" w:rsidR="00774957" w:rsidRPr="00D023EB" w:rsidRDefault="00774957" w:rsidP="00D023EB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FD58345" w14:textId="7F76841C" w:rsidR="00C847D2" w:rsidRPr="00D023EB" w:rsidRDefault="00774957" w:rsidP="00D023EB">
      <w:pPr>
        <w:pStyle w:val="Tekstpodstawowy2"/>
        <w:numPr>
          <w:ilvl w:val="0"/>
          <w:numId w:val="28"/>
        </w:numPr>
        <w:suppressAutoHyphens w:val="0"/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00B72DB9" w14:textId="77777777" w:rsidR="00FD424F" w:rsidRPr="00D023EB" w:rsidRDefault="00FD424F" w:rsidP="00D023EB">
      <w:pPr>
        <w:pStyle w:val="Tekstpodstawowy2"/>
        <w:suppressAutoHyphens w:val="0"/>
        <w:spacing w:after="0" w:line="240" w:lineRule="auto"/>
        <w:jc w:val="both"/>
        <w:rPr>
          <w:color w:val="000000" w:themeColor="text1"/>
        </w:rPr>
      </w:pPr>
    </w:p>
    <w:p w14:paraId="4A4CD1CE" w14:textId="4BC60E3F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9.</w:t>
      </w:r>
    </w:p>
    <w:p w14:paraId="0019A501" w14:textId="77777777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D023EB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66FDF5F8" w14:textId="7AD5986C" w:rsidR="002F67F2" w:rsidRPr="00D023EB" w:rsidRDefault="002F67F2" w:rsidP="00D023EB">
      <w:pPr>
        <w:pStyle w:val="Akapitzlist"/>
        <w:numPr>
          <w:ilvl w:val="0"/>
          <w:numId w:val="6"/>
        </w:numPr>
        <w:spacing w:after="0" w:line="240" w:lineRule="auto"/>
        <w:jc w:val="both"/>
        <w:rPr>
          <w:bCs/>
          <w:color w:val="000000" w:themeColor="text1"/>
        </w:rPr>
      </w:pPr>
      <w:r w:rsidRPr="00D023EB">
        <w:rPr>
          <w:color w:val="000000" w:themeColor="text1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087A1A90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4F59B72A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3FD4B095" w14:textId="4E91679A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zmiany powszechnie obowiązujących przepisów prawa mających wpływ na zakres lub termin wykonania przedmiotu umowy,</w:t>
      </w:r>
    </w:p>
    <w:p w14:paraId="5D87144D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5E47FFA1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  <w:kern w:val="1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78C3F34E" w14:textId="77777777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z przyczyn od Wykonawcy niezależnych, których nie można było przewidzieć w chwili zawarcia umowy, nie jest możliwe dotrzymanie terminu wykonania przedmiotu umowy,</w:t>
      </w:r>
    </w:p>
    <w:p w14:paraId="1A0CC19D" w14:textId="77777777" w:rsidR="008D0E1C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w przypadku, gdy okoliczności związane z ogłoszeniem lub trwaniem stanu epidemii lub zagrożenia epidemicznego spowodowały niezawinione przez Wykonawcę opóźnienie</w:t>
      </w:r>
      <w:r w:rsidR="008D0E1C" w:rsidRPr="00D023EB">
        <w:rPr>
          <w:color w:val="000000" w:themeColor="text1"/>
        </w:rPr>
        <w:t>,</w:t>
      </w:r>
    </w:p>
    <w:p w14:paraId="5D6BD86F" w14:textId="3834ADEE" w:rsidR="002F67F2" w:rsidRPr="00D023EB" w:rsidRDefault="002F67F2" w:rsidP="00D023EB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color w:val="000000" w:themeColor="text1"/>
          <w:kern w:val="1"/>
          <w:lang w:eastAsia="hi-IN" w:bidi="hi-IN"/>
        </w:rPr>
      </w:pPr>
      <w:r w:rsidRPr="00D023EB">
        <w:rPr>
          <w:color w:val="000000" w:themeColor="text1"/>
        </w:rPr>
        <w:t>w przypadku konieczności wprowadzenia zmian w dokumentacji projektowej wynikających z ujawnionych w trakcie wykonywania umowy zmian w stosunku do danych przedstawionych w postępowaniu o zamówienie publiczne dotyczących terenu, na którym ma powstać obiekt.</w:t>
      </w:r>
    </w:p>
    <w:p w14:paraId="78D69894" w14:textId="2804E59C" w:rsidR="002F67F2" w:rsidRPr="00D023EB" w:rsidRDefault="002F67F2" w:rsidP="00D023EB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5EE94F09" w14:textId="58391843" w:rsidR="000B58E8" w:rsidRPr="00D023EB" w:rsidRDefault="000B58E8" w:rsidP="00D023EB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lastRenderedPageBreak/>
        <w:t>Strona występująca o zmianę umowy zobowiązana jest do udokumentowania zaistnienia którejkolwiek z ww. przesłanek. Wniosek o zmianę postanowień zawartej umowy musi być wyrażony na piśmie.</w:t>
      </w:r>
    </w:p>
    <w:p w14:paraId="073E0FA0" w14:textId="77777777" w:rsidR="002F67F2" w:rsidRPr="00D023EB" w:rsidRDefault="002F67F2" w:rsidP="00D023E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081D74F6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6C4547" w:rsidRPr="00D023EB">
        <w:rPr>
          <w:rFonts w:ascii="Calibri" w:hAnsi="Calibri" w:cs="Calibri"/>
          <w:b/>
          <w:color w:val="000000" w:themeColor="text1"/>
          <w:sz w:val="22"/>
          <w:szCs w:val="22"/>
        </w:rPr>
        <w:t>10.</w:t>
      </w:r>
    </w:p>
    <w:p w14:paraId="3E1BE5FC" w14:textId="77777777" w:rsidR="002F67F2" w:rsidRPr="00D023EB" w:rsidRDefault="002F67F2" w:rsidP="00D023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W razie niewykonania lub nienależytego wykonania przedmiotu umowy Wykonawca zapłaci Zamawiającemu karę umowną:</w:t>
      </w:r>
    </w:p>
    <w:p w14:paraId="330E4DF4" w14:textId="1FD0CBFD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 zwłokę w zakończeniu wykonania przedmiotu umowy – w wysokości 0,5% wynagrodzenia brutto, określonego w § 5 ust. 1 za każdy dzień zwłoki (termin zakończenia robót określono w § 4 niniejszej umowy),</w:t>
      </w:r>
    </w:p>
    <w:p w14:paraId="46D15D43" w14:textId="77777777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 zwłokę w usunięciu wad stwierdzonych w okresie gwarancji i rękojmi – w wysokości 0,5% wynagrodzenia brutto, określonego w §5 ust. 1 za każdy dzień opóźnienia liczonego od dnia wyznaczonego na usunięcie wad,</w:t>
      </w:r>
    </w:p>
    <w:p w14:paraId="4160A107" w14:textId="7B9133EB" w:rsidR="000A5036" w:rsidRPr="00D023EB" w:rsidRDefault="000A5036" w:rsidP="00D023EB">
      <w:pPr>
        <w:pStyle w:val="Akapitzlist"/>
        <w:numPr>
          <w:ilvl w:val="0"/>
          <w:numId w:val="46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 odstąpienie od umowy z przyczyn leżących po stronie Wykonawcy – w wysokości 30% wynagrodzenia brutto, określonego w § 5 ust. 1.</w:t>
      </w:r>
    </w:p>
    <w:p w14:paraId="047A16AC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D023EB">
        <w:rPr>
          <w:color w:val="000000" w:themeColor="text1"/>
        </w:rPr>
        <w:br/>
        <w:t>do odstąpienia od umowy, składając pisemne oświadczenie.</w:t>
      </w:r>
    </w:p>
    <w:p w14:paraId="5AC471AA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Zamawiającemu przysługuje prawo naliczania kar umownych wysokości  do 50% wynagrodzenia brutto określonego w § 12 ust. 1 niniejszej umowy.</w:t>
      </w:r>
    </w:p>
    <w:p w14:paraId="3D4974E7" w14:textId="3D938ECB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Zamawiający zapłaci Wykonawcy kary umowne z tytułu odstąpienia od umowy z przyczyn, </w:t>
      </w:r>
      <w:r w:rsidRPr="00D023EB">
        <w:rPr>
          <w:color w:val="000000" w:themeColor="text1"/>
        </w:rPr>
        <w:br/>
        <w:t xml:space="preserve">za które odpowiedzialność ponosi Zamawiający w wysokości 20% wynagrodzenia brutto, </w:t>
      </w:r>
      <w:r w:rsidRPr="00D023EB">
        <w:rPr>
          <w:color w:val="000000" w:themeColor="text1"/>
        </w:rPr>
        <w:br/>
        <w:t>za wyjątkiem odstąpienia od umowy na podstawie § 1</w:t>
      </w:r>
      <w:r w:rsidR="006C4547" w:rsidRPr="00D023EB">
        <w:rPr>
          <w:color w:val="000000" w:themeColor="text1"/>
        </w:rPr>
        <w:t>1</w:t>
      </w:r>
      <w:r w:rsidRPr="00D023EB">
        <w:rPr>
          <w:color w:val="000000" w:themeColor="text1"/>
        </w:rPr>
        <w:t xml:space="preserve"> ust. 1 pkt a).</w:t>
      </w:r>
    </w:p>
    <w:p w14:paraId="46169C35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D023EB" w:rsidRDefault="002F67F2" w:rsidP="00D023EB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D023EB" w:rsidRDefault="002F67F2" w:rsidP="00D023E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6D1CAE52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11.</w:t>
      </w:r>
    </w:p>
    <w:p w14:paraId="1B349B17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Zamawiającemu przysługuje prawo odstąpienia od umowy jeśli:</w:t>
      </w:r>
    </w:p>
    <w:p w14:paraId="2C678B03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D023EB">
        <w:rPr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okolicznościach, albo;</w:t>
      </w:r>
    </w:p>
    <w:p w14:paraId="1B4CAF89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nie przystąpił do wykonania przedmiotu Umowy bez uzasadnionych przyczyn w terminie 14 dni od dnia zawarcia umowy, albo;</w:t>
      </w:r>
    </w:p>
    <w:p w14:paraId="67F6CC25" w14:textId="77777777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wykonawca nie kontynuuje prac przez kolejne 30 dni, pomimo wezwania Zamawiającego złożonego na piśmie wzywającego do podjęcia prac w terminie 7 dni od otrzymania pisma albo;</w:t>
      </w:r>
    </w:p>
    <w:p w14:paraId="44B4B528" w14:textId="52024889" w:rsidR="002F67F2" w:rsidRPr="00D023EB" w:rsidRDefault="002F67F2" w:rsidP="00D023EB">
      <w:pPr>
        <w:pStyle w:val="Akapitzlist"/>
        <w:numPr>
          <w:ilvl w:val="0"/>
          <w:numId w:val="43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D023E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D023EB">
        <w:rPr>
          <w:color w:val="000000" w:themeColor="text1"/>
        </w:rPr>
        <w:t>.</w:t>
      </w:r>
    </w:p>
    <w:p w14:paraId="639691CD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264503F" w14:textId="77777777" w:rsidR="002F67F2" w:rsidRPr="00D023EB" w:rsidRDefault="002F67F2" w:rsidP="00D023EB">
      <w:pPr>
        <w:pStyle w:val="Akapitzlist"/>
        <w:numPr>
          <w:ilvl w:val="0"/>
          <w:numId w:val="44"/>
        </w:numPr>
        <w:spacing w:after="0" w:line="240" w:lineRule="auto"/>
        <w:ind w:left="426"/>
        <w:jc w:val="both"/>
        <w:rPr>
          <w:rStyle w:val="Pogrubienie"/>
          <w:b w:val="0"/>
          <w:bCs w:val="0"/>
          <w:color w:val="000000" w:themeColor="text1"/>
        </w:rPr>
      </w:pPr>
      <w:r w:rsidRPr="00D023EB">
        <w:rPr>
          <w:color w:val="000000" w:themeColor="text1"/>
        </w:rPr>
        <w:t xml:space="preserve">Zamawiający może zrezygnować z realizacji określonych prac przez Wykonawcę. W takim przypadku strony ustalają wartość prac, które nie będą realizowane i pomniejszą wynagrodzenie wykonawcy, uwzględniając jednak uzasadnione koszty wykonawcy związane </w:t>
      </w:r>
      <w:r w:rsidRPr="00D023EB">
        <w:rPr>
          <w:color w:val="000000" w:themeColor="text1"/>
        </w:rPr>
        <w:br/>
        <w:t>z pracami, z których zrezygnowano, poniesione przed pisemnym poinformowaniem przez Zamawiającego o rezygnacji z tych prac.</w:t>
      </w:r>
    </w:p>
    <w:p w14:paraId="7D675481" w14:textId="77777777" w:rsidR="002F67F2" w:rsidRPr="00D023EB" w:rsidRDefault="002F67F2" w:rsidP="00D023E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00587F65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12.</w:t>
      </w:r>
    </w:p>
    <w:p w14:paraId="2BE7C610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D023EB" w:rsidRDefault="002F67F2" w:rsidP="00D023E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Dane kontaktowe Inspektora Ochrony Danych Osobowych: </w:t>
      </w:r>
      <w:hyperlink r:id="rId8" w:history="1">
        <w:r w:rsidRPr="00D023EB">
          <w:rPr>
            <w:rStyle w:val="Hipercze"/>
            <w:color w:val="000000" w:themeColor="text1"/>
          </w:rPr>
          <w:t>iod@gminatomaszowmaz.pl</w:t>
        </w:r>
      </w:hyperlink>
      <w:r w:rsidRPr="00D023EB">
        <w:rPr>
          <w:rStyle w:val="Hipercze"/>
          <w:color w:val="000000" w:themeColor="text1"/>
        </w:rPr>
        <w:t xml:space="preserve"> </w:t>
      </w:r>
      <w:r w:rsidRPr="00D023EB">
        <w:rPr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D023EB" w:rsidRDefault="002F67F2" w:rsidP="00D023EB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D023EB">
        <w:rPr>
          <w:color w:val="000000" w:themeColor="text1"/>
        </w:rPr>
        <w:t>Pełna klauzula informacyjna znajduje się na stronie internetowej Zamawiającego pod poniższym linkiem:</w:t>
      </w:r>
    </w:p>
    <w:p w14:paraId="2225D963" w14:textId="77777777" w:rsidR="002F67F2" w:rsidRPr="00D023EB" w:rsidRDefault="00D8661D" w:rsidP="00D023E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D023E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111785E" w14:textId="77777777" w:rsidR="002F67F2" w:rsidRPr="00D023EB" w:rsidRDefault="002F67F2" w:rsidP="00D023E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2911BF5B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13.</w:t>
      </w:r>
    </w:p>
    <w:p w14:paraId="55AB3EC4" w14:textId="77777777" w:rsidR="002F67F2" w:rsidRPr="00D023EB" w:rsidRDefault="002F67F2" w:rsidP="00D023E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D023EB" w:rsidRDefault="002F67F2" w:rsidP="00D023E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D023E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D023E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D023EB" w:rsidRDefault="002F67F2" w:rsidP="00D023E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6B76A7E6" w:rsidR="002F67F2" w:rsidRPr="00D023EB" w:rsidRDefault="002F67F2" w:rsidP="00D023E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 xml:space="preserve">§ </w:t>
      </w:r>
      <w:r w:rsidR="006C4547" w:rsidRPr="00D023EB">
        <w:rPr>
          <w:b/>
          <w:bCs/>
          <w:color w:val="000000" w:themeColor="text1"/>
        </w:rPr>
        <w:t>14.</w:t>
      </w:r>
    </w:p>
    <w:p w14:paraId="7A01C6B8" w14:textId="77777777" w:rsidR="002F67F2" w:rsidRPr="00D023EB" w:rsidRDefault="002F67F2" w:rsidP="00D023E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D023E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D023EB" w:rsidRDefault="002F67F2" w:rsidP="00D023E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W sprawach nieuregulowanych niniejszą umową stosuje się przepisy ustaw:</w:t>
      </w:r>
    </w:p>
    <w:p w14:paraId="30795067" w14:textId="77777777" w:rsidR="002F67F2" w:rsidRPr="00D023EB" w:rsidRDefault="002F67F2" w:rsidP="00D023EB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ustawy z dnia 07.07.1994 r. Prawo budowlane (tj. Dz. U. z 2020 r. poz. 1333 ze zm.)</w:t>
      </w:r>
    </w:p>
    <w:p w14:paraId="390E5C08" w14:textId="77777777" w:rsidR="002F67F2" w:rsidRPr="00D023EB" w:rsidRDefault="002F67F2" w:rsidP="00D023EB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D023EB">
        <w:rPr>
          <w:color w:val="000000" w:themeColor="text1"/>
        </w:rPr>
        <w:t>ustawy z dnia 23.04.1964 r. Kodeksu cywilnego (tj. Dz. U. z 2020 r. poz. 1740 ze zm.).</w:t>
      </w:r>
    </w:p>
    <w:p w14:paraId="76ED65DC" w14:textId="77777777" w:rsidR="002F67F2" w:rsidRPr="00D023EB" w:rsidRDefault="002F67F2" w:rsidP="00D023EB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D023EB">
        <w:rPr>
          <w:color w:val="000000" w:themeColor="text1"/>
        </w:rPr>
        <w:t xml:space="preserve">Umowę sporządzono w trzech jednobrzmiących egzemplarzach: jeden dla Wykonawcy, </w:t>
      </w:r>
      <w:r w:rsidRPr="00D023EB">
        <w:rPr>
          <w:color w:val="000000" w:themeColor="text1"/>
        </w:rPr>
        <w:br/>
        <w:t>dwa dla Zamawiającego.</w:t>
      </w:r>
    </w:p>
    <w:p w14:paraId="0C69A9A7" w14:textId="77777777" w:rsidR="002F67F2" w:rsidRPr="00D023EB" w:rsidRDefault="002F67F2" w:rsidP="00D023E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4C9E218A" w14:textId="77777777" w:rsidR="002F67F2" w:rsidRPr="00D023EB" w:rsidRDefault="002F67F2" w:rsidP="00D023EB">
      <w:pPr>
        <w:pStyle w:val="Zwykytekst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9799BF9" w14:textId="77777777" w:rsidR="002F67F2" w:rsidRPr="00D023EB" w:rsidRDefault="002F67F2" w:rsidP="00D023E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023E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D023EB" w:rsidRDefault="002F67F2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D023EB" w:rsidRDefault="002F67F2" w:rsidP="00D023E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D023EB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D179E1"/>
    <w:multiLevelType w:val="hybridMultilevel"/>
    <w:tmpl w:val="D2BE48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D50B4"/>
    <w:multiLevelType w:val="hybridMultilevel"/>
    <w:tmpl w:val="85AE0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933"/>
    <w:multiLevelType w:val="hybridMultilevel"/>
    <w:tmpl w:val="F8D82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471FD"/>
    <w:multiLevelType w:val="hybridMultilevel"/>
    <w:tmpl w:val="51720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15D7A"/>
    <w:multiLevelType w:val="hybridMultilevel"/>
    <w:tmpl w:val="96223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C3A05"/>
    <w:multiLevelType w:val="hybridMultilevel"/>
    <w:tmpl w:val="8AEE5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1697A"/>
    <w:multiLevelType w:val="hybridMultilevel"/>
    <w:tmpl w:val="809C4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60E2"/>
    <w:multiLevelType w:val="hybridMultilevel"/>
    <w:tmpl w:val="3848914C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7310D"/>
    <w:multiLevelType w:val="hybridMultilevel"/>
    <w:tmpl w:val="C542F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A5824"/>
    <w:multiLevelType w:val="hybridMultilevel"/>
    <w:tmpl w:val="39C8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869B3"/>
    <w:multiLevelType w:val="hybridMultilevel"/>
    <w:tmpl w:val="A0460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723C7"/>
    <w:multiLevelType w:val="hybridMultilevel"/>
    <w:tmpl w:val="9DD8FE7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846C04"/>
    <w:multiLevelType w:val="hybridMultilevel"/>
    <w:tmpl w:val="05BE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62EEC"/>
    <w:multiLevelType w:val="hybridMultilevel"/>
    <w:tmpl w:val="A044B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9F1B36"/>
    <w:multiLevelType w:val="hybridMultilevel"/>
    <w:tmpl w:val="D9EE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17009"/>
    <w:multiLevelType w:val="hybridMultilevel"/>
    <w:tmpl w:val="AE8C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77D99"/>
    <w:multiLevelType w:val="hybridMultilevel"/>
    <w:tmpl w:val="4BCEB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50110"/>
    <w:multiLevelType w:val="hybridMultilevel"/>
    <w:tmpl w:val="ED2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D08"/>
    <w:multiLevelType w:val="hybridMultilevel"/>
    <w:tmpl w:val="191A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24EFF"/>
    <w:multiLevelType w:val="hybridMultilevel"/>
    <w:tmpl w:val="86F01C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E60C2"/>
    <w:multiLevelType w:val="hybridMultilevel"/>
    <w:tmpl w:val="92EABDE2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 w:tplc="CA3C138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9481960"/>
    <w:multiLevelType w:val="hybridMultilevel"/>
    <w:tmpl w:val="4B124106"/>
    <w:lvl w:ilvl="0" w:tplc="CA3C1384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55F93"/>
    <w:multiLevelType w:val="hybridMultilevel"/>
    <w:tmpl w:val="2D5C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4"/>
  </w:num>
  <w:num w:numId="4">
    <w:abstractNumId w:val="25"/>
  </w:num>
  <w:num w:numId="5">
    <w:abstractNumId w:val="6"/>
  </w:num>
  <w:num w:numId="6">
    <w:abstractNumId w:val="23"/>
  </w:num>
  <w:num w:numId="7">
    <w:abstractNumId w:val="15"/>
  </w:num>
  <w:num w:numId="8">
    <w:abstractNumId w:val="34"/>
  </w:num>
  <w:num w:numId="9">
    <w:abstractNumId w:val="2"/>
  </w:num>
  <w:num w:numId="10">
    <w:abstractNumId w:val="46"/>
  </w:num>
  <w:num w:numId="11">
    <w:abstractNumId w:val="1"/>
  </w:num>
  <w:num w:numId="12">
    <w:abstractNumId w:val="13"/>
  </w:num>
  <w:num w:numId="13">
    <w:abstractNumId w:val="43"/>
  </w:num>
  <w:num w:numId="14">
    <w:abstractNumId w:val="37"/>
  </w:num>
  <w:num w:numId="15">
    <w:abstractNumId w:val="5"/>
  </w:num>
  <w:num w:numId="16">
    <w:abstractNumId w:val="45"/>
  </w:num>
  <w:num w:numId="17">
    <w:abstractNumId w:val="12"/>
  </w:num>
  <w:num w:numId="18">
    <w:abstractNumId w:val="8"/>
  </w:num>
  <w:num w:numId="19">
    <w:abstractNumId w:val="38"/>
  </w:num>
  <w:num w:numId="20">
    <w:abstractNumId w:val="40"/>
  </w:num>
  <w:num w:numId="21">
    <w:abstractNumId w:val="47"/>
  </w:num>
  <w:num w:numId="22">
    <w:abstractNumId w:val="31"/>
  </w:num>
  <w:num w:numId="23">
    <w:abstractNumId w:val="44"/>
  </w:num>
  <w:num w:numId="24">
    <w:abstractNumId w:val="28"/>
  </w:num>
  <w:num w:numId="25">
    <w:abstractNumId w:val="41"/>
  </w:num>
  <w:num w:numId="26">
    <w:abstractNumId w:val="16"/>
  </w:num>
  <w:num w:numId="27">
    <w:abstractNumId w:val="9"/>
  </w:num>
  <w:num w:numId="28">
    <w:abstractNumId w:val="17"/>
  </w:num>
  <w:num w:numId="29">
    <w:abstractNumId w:val="29"/>
  </w:num>
  <w:num w:numId="30">
    <w:abstractNumId w:val="3"/>
  </w:num>
  <w:num w:numId="31">
    <w:abstractNumId w:val="35"/>
  </w:num>
  <w:num w:numId="32">
    <w:abstractNumId w:val="39"/>
  </w:num>
  <w:num w:numId="33">
    <w:abstractNumId w:val="21"/>
  </w:num>
  <w:num w:numId="34">
    <w:abstractNumId w:val="7"/>
  </w:num>
  <w:num w:numId="35">
    <w:abstractNumId w:val="20"/>
  </w:num>
  <w:num w:numId="36">
    <w:abstractNumId w:val="36"/>
  </w:num>
  <w:num w:numId="37">
    <w:abstractNumId w:val="11"/>
  </w:num>
  <w:num w:numId="38">
    <w:abstractNumId w:val="19"/>
  </w:num>
  <w:num w:numId="39">
    <w:abstractNumId w:val="10"/>
  </w:num>
  <w:num w:numId="40">
    <w:abstractNumId w:val="27"/>
  </w:num>
  <w:num w:numId="41">
    <w:abstractNumId w:val="14"/>
  </w:num>
  <w:num w:numId="42">
    <w:abstractNumId w:val="26"/>
  </w:num>
  <w:num w:numId="43">
    <w:abstractNumId w:val="24"/>
  </w:num>
  <w:num w:numId="44">
    <w:abstractNumId w:val="32"/>
  </w:num>
  <w:num w:numId="45">
    <w:abstractNumId w:val="42"/>
  </w:num>
  <w:num w:numId="46">
    <w:abstractNumId w:val="30"/>
  </w:num>
  <w:num w:numId="47">
    <w:abstractNumId w:val="18"/>
  </w:num>
  <w:num w:numId="48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33A5"/>
    <w:rsid w:val="00074703"/>
    <w:rsid w:val="000A5036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93DC5"/>
    <w:rsid w:val="002A6432"/>
    <w:rsid w:val="002E0526"/>
    <w:rsid w:val="002F1A46"/>
    <w:rsid w:val="002F67F2"/>
    <w:rsid w:val="003037A2"/>
    <w:rsid w:val="0035513B"/>
    <w:rsid w:val="003661BD"/>
    <w:rsid w:val="00370047"/>
    <w:rsid w:val="00391A45"/>
    <w:rsid w:val="003C27EB"/>
    <w:rsid w:val="003C516C"/>
    <w:rsid w:val="003D09BE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35E39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30870"/>
    <w:rsid w:val="00636A63"/>
    <w:rsid w:val="00640803"/>
    <w:rsid w:val="00641548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547EE"/>
    <w:rsid w:val="007577E3"/>
    <w:rsid w:val="00763246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24BF2"/>
    <w:rsid w:val="0093276E"/>
    <w:rsid w:val="009401D1"/>
    <w:rsid w:val="00946382"/>
    <w:rsid w:val="00961FAB"/>
    <w:rsid w:val="00964789"/>
    <w:rsid w:val="00993D6E"/>
    <w:rsid w:val="009B3C5B"/>
    <w:rsid w:val="009C1176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D6EEB"/>
    <w:rsid w:val="00AF00B5"/>
    <w:rsid w:val="00AF4DBF"/>
    <w:rsid w:val="00AF7015"/>
    <w:rsid w:val="00B05F46"/>
    <w:rsid w:val="00B1013C"/>
    <w:rsid w:val="00B144AC"/>
    <w:rsid w:val="00B302FD"/>
    <w:rsid w:val="00B708A6"/>
    <w:rsid w:val="00B71D6A"/>
    <w:rsid w:val="00B8085D"/>
    <w:rsid w:val="00B87F88"/>
    <w:rsid w:val="00B92E5C"/>
    <w:rsid w:val="00BD220E"/>
    <w:rsid w:val="00BE6C59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023EB"/>
    <w:rsid w:val="00D238F6"/>
    <w:rsid w:val="00D324D9"/>
    <w:rsid w:val="00D37446"/>
    <w:rsid w:val="00D5305B"/>
    <w:rsid w:val="00D61491"/>
    <w:rsid w:val="00D64784"/>
    <w:rsid w:val="00D705A6"/>
    <w:rsid w:val="00D8661D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2361</Words>
  <Characters>14167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101</cp:revision>
  <cp:lastPrinted>2021-09-23T09:16:00Z</cp:lastPrinted>
  <dcterms:created xsi:type="dcterms:W3CDTF">2015-06-25T10:21:00Z</dcterms:created>
  <dcterms:modified xsi:type="dcterms:W3CDTF">2021-09-23T09:23:00Z</dcterms:modified>
</cp:coreProperties>
</file>