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9C" w:rsidRPr="00435127" w:rsidRDefault="00461222" w:rsidP="00435127">
      <w:pPr>
        <w:spacing w:after="224" w:line="259" w:lineRule="auto"/>
        <w:ind w:left="15" w:right="1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435127">
        <w:rPr>
          <w:b/>
          <w:i/>
          <w:sz w:val="28"/>
        </w:rPr>
        <w:t xml:space="preserve">SPECYFIKACAJA </w:t>
      </w:r>
      <w:r w:rsidRPr="00435127">
        <w:rPr>
          <w:b/>
          <w:i/>
          <w:sz w:val="28"/>
          <w:szCs w:val="28"/>
        </w:rPr>
        <w:t xml:space="preserve">TECHNICZNA WYKONANIA I ODBIORU ROBÓT </w:t>
      </w:r>
    </w:p>
    <w:p w:rsidR="0040299C" w:rsidRDefault="00461222">
      <w:pPr>
        <w:spacing w:after="220" w:line="259" w:lineRule="auto"/>
        <w:ind w:left="17" w:right="2"/>
        <w:jc w:val="center"/>
      </w:pPr>
      <w:r>
        <w:rPr>
          <w:b/>
          <w:i/>
          <w:sz w:val="24"/>
        </w:rPr>
        <w:t xml:space="preserve">D.05.03.08 </w:t>
      </w:r>
    </w:p>
    <w:p w:rsidR="0040299C" w:rsidRDefault="00461222">
      <w:pPr>
        <w:spacing w:after="220" w:line="259" w:lineRule="auto"/>
        <w:ind w:left="17" w:right="3"/>
        <w:jc w:val="center"/>
      </w:pPr>
      <w:r>
        <w:rPr>
          <w:b/>
          <w:i/>
          <w:sz w:val="24"/>
        </w:rPr>
        <w:t>Powierzchniowe podwójne utrwalenie nawierzchni</w:t>
      </w:r>
      <w:r>
        <w:rPr>
          <w:b/>
          <w:i/>
        </w:rPr>
        <w:t xml:space="preserve"> </w:t>
      </w:r>
      <w:r>
        <w:rPr>
          <w:b/>
          <w:i/>
          <w:sz w:val="24"/>
        </w:rPr>
        <w:t xml:space="preserve"> </w:t>
      </w:r>
    </w:p>
    <w:p w:rsidR="0040299C" w:rsidRDefault="00461222">
      <w:pPr>
        <w:pStyle w:val="Nagwek2"/>
        <w:spacing w:after="210"/>
        <w:ind w:left="-5"/>
      </w:pPr>
      <w:r>
        <w:t xml:space="preserve">1. Wstęp </w:t>
      </w:r>
    </w:p>
    <w:p w:rsidR="0040299C" w:rsidRDefault="00461222">
      <w:pPr>
        <w:pStyle w:val="Nagwek3"/>
        <w:spacing w:after="215"/>
        <w:ind w:left="-5"/>
      </w:pPr>
      <w:r>
        <w:t xml:space="preserve">1.1 Przedmiot SST </w:t>
      </w:r>
    </w:p>
    <w:p w:rsidR="0040299C" w:rsidRDefault="00461222">
      <w:pPr>
        <w:spacing w:after="201"/>
        <w:ind w:left="-5"/>
      </w:pPr>
      <w:r>
        <w:t>Przedmiotem niniejszej szczegółowej specyfikacji technicznej są wymagania dotyczące wykonania i odbioru podwójnego powierzchniowego utrwalenia nawierzchni bitumicznej przy użyciu kationowej emulsji asfaltowej C69BP3PU i grysów bazaltowych klasy I gat. I o uziarnieniu</w:t>
      </w:r>
      <w:r w:rsidR="00AE3F2B">
        <w:t xml:space="preserve"> 2/5</w:t>
      </w:r>
      <w:r>
        <w:t xml:space="preserve"> mm  i </w:t>
      </w:r>
      <w:r w:rsidR="00AE3F2B">
        <w:t>5/8</w:t>
      </w:r>
      <w:r>
        <w:t xml:space="preserve"> mm  </w:t>
      </w:r>
    </w:p>
    <w:p w:rsidR="0040299C" w:rsidRDefault="002F7544">
      <w:pPr>
        <w:ind w:left="-5"/>
      </w:pPr>
      <w:r>
        <w:t>D</w:t>
      </w:r>
      <w:r w:rsidR="00461222">
        <w:t>rog</w:t>
      </w:r>
      <w:r>
        <w:t>i gminnej nr 116424E w miejscowości Karolinów</w:t>
      </w:r>
      <w:r w:rsidR="00461222">
        <w:t xml:space="preserve"> o szacunkowej długości </w:t>
      </w:r>
      <w:r w:rsidR="003F6236">
        <w:t>1350,00</w:t>
      </w:r>
      <w:r w:rsidR="00461222">
        <w:t xml:space="preserve"> m </w:t>
      </w:r>
    </w:p>
    <w:p w:rsidR="0040299C" w:rsidRPr="003F6236" w:rsidRDefault="00461222">
      <w:pPr>
        <w:ind w:left="-5"/>
      </w:pPr>
      <w:r>
        <w:t>Szacunkowa powierzchnia podwójnego powierzchniowego utrwalenia wynosi :</w:t>
      </w:r>
      <w:r>
        <w:rPr>
          <w:sz w:val="20"/>
        </w:rPr>
        <w:t xml:space="preserve"> </w:t>
      </w:r>
      <w:r w:rsidR="003F6236" w:rsidRPr="003F6236">
        <w:t>6 210,00</w:t>
      </w:r>
      <w:r w:rsidRPr="003F6236">
        <w:t xml:space="preserve">  m² </w:t>
      </w:r>
    </w:p>
    <w:p w:rsidR="0040299C" w:rsidRDefault="00461222">
      <w:pPr>
        <w:spacing w:after="19" w:line="259" w:lineRule="auto"/>
        <w:ind w:left="0" w:firstLine="0"/>
      </w:pPr>
      <w:r>
        <w:t xml:space="preserve"> </w:t>
      </w:r>
    </w:p>
    <w:p w:rsidR="0040299C" w:rsidRDefault="00461222">
      <w:pPr>
        <w:pStyle w:val="Nagwek3"/>
        <w:spacing w:after="208" w:line="267" w:lineRule="auto"/>
        <w:ind w:left="-5"/>
      </w:pPr>
      <w:r>
        <w:rPr>
          <w:i/>
        </w:rPr>
        <w:t xml:space="preserve">1.2 Zakres stosowania SST </w:t>
      </w:r>
    </w:p>
    <w:p w:rsidR="0040299C" w:rsidRDefault="00461222">
      <w:pPr>
        <w:spacing w:after="203"/>
        <w:ind w:left="-5"/>
      </w:pPr>
      <w:r>
        <w:t xml:space="preserve">Szczegółowa specyfikacja techniczna jest stosowana jako dokument przetargowy i kontraktowy przy zlecaniu i realizacji robót wymienionych w pkt 1.1 </w:t>
      </w:r>
    </w:p>
    <w:p w:rsidR="0040299C" w:rsidRDefault="00461222">
      <w:pPr>
        <w:pStyle w:val="Nagwek3"/>
        <w:spacing w:after="210" w:line="267" w:lineRule="auto"/>
        <w:ind w:left="-5"/>
      </w:pPr>
      <w:r>
        <w:rPr>
          <w:i/>
        </w:rPr>
        <w:t xml:space="preserve">1.3 Podstawowe określenia </w:t>
      </w:r>
    </w:p>
    <w:p w:rsidR="0040299C" w:rsidRDefault="00461222">
      <w:pPr>
        <w:pStyle w:val="Nagwek4"/>
        <w:spacing w:after="218"/>
        <w:ind w:left="-5"/>
      </w:pPr>
      <w:r>
        <w:t xml:space="preserve">1.3.1 Podwójne powierzchniowe utrwalenie </w:t>
      </w:r>
    </w:p>
    <w:p w:rsidR="00BF3134" w:rsidRPr="00BF3134" w:rsidRDefault="00461222" w:rsidP="00BF3134">
      <w:pPr>
        <w:spacing w:line="252" w:lineRule="exact"/>
        <w:rPr>
          <w:rFonts w:asciiTheme="minorHAnsi" w:eastAsia="Times New Roman" w:hAnsiTheme="minorHAnsi"/>
        </w:rPr>
      </w:pPr>
      <w:r w:rsidRPr="00BF3134">
        <w:rPr>
          <w:rFonts w:asciiTheme="minorHAnsi" w:hAnsiTheme="minorHAnsi"/>
        </w:rPr>
        <w:t xml:space="preserve">          </w:t>
      </w:r>
      <w:r w:rsidR="00BF3134" w:rsidRPr="00BF3134">
        <w:rPr>
          <w:rFonts w:asciiTheme="minorHAnsi" w:eastAsia="Times New Roman" w:hAnsiTheme="minorHAnsi"/>
        </w:rPr>
        <w:t>Podwójne powierzchniowe utrwalenie nawierzchni jest zabiegiem utrzymaniowym polegającym na kolejnym rozłożeniu:</w:t>
      </w:r>
    </w:p>
    <w:p w:rsidR="00BF3134" w:rsidRPr="00BF3134" w:rsidRDefault="00BF3134" w:rsidP="00BF3134">
      <w:pPr>
        <w:spacing w:line="20" w:lineRule="exact"/>
        <w:rPr>
          <w:rFonts w:asciiTheme="minorHAnsi" w:eastAsia="Times New Roman" w:hAnsiTheme="minorHAnsi"/>
        </w:rPr>
      </w:pPr>
      <w:r w:rsidRPr="00BF3134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133985</wp:posOffset>
            </wp:positionV>
            <wp:extent cx="111760" cy="124460"/>
            <wp:effectExtent l="0" t="0" r="2540" b="889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2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134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-46355</wp:posOffset>
            </wp:positionV>
            <wp:extent cx="1483360" cy="646430"/>
            <wp:effectExtent l="0" t="0" r="2540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134" w:rsidRPr="00BF3134" w:rsidRDefault="00BF3134" w:rsidP="00BF3134">
      <w:pPr>
        <w:spacing w:line="213" w:lineRule="exact"/>
        <w:rPr>
          <w:rFonts w:asciiTheme="minorHAnsi" w:eastAsia="Times New Roman" w:hAnsiTheme="minorHAnsi"/>
        </w:rPr>
      </w:pPr>
    </w:p>
    <w:p w:rsidR="00BF3134" w:rsidRPr="00BF3134" w:rsidRDefault="00BF3134" w:rsidP="00BF3134">
      <w:pPr>
        <w:spacing w:line="249" w:lineRule="auto"/>
        <w:ind w:left="280" w:right="6080"/>
        <w:rPr>
          <w:rFonts w:asciiTheme="minorHAnsi" w:eastAsia="Times New Roman" w:hAnsiTheme="minorHAnsi"/>
        </w:rPr>
      </w:pPr>
      <w:r w:rsidRPr="00BF3134">
        <w:rPr>
          <w:rFonts w:asciiTheme="minorHAnsi" w:eastAsia="Times New Roman" w:hAnsiTheme="minorHAnsi"/>
        </w:rPr>
        <w:t>warstwy lepiszcza, warstwy kruszywa, drugiej warstwy lepiszcza, warstwy drobniejszego kruszywa.</w:t>
      </w:r>
    </w:p>
    <w:p w:rsidR="00BF3134" w:rsidRDefault="00BF3134" w:rsidP="00BF3134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-468630</wp:posOffset>
            </wp:positionV>
            <wp:extent cx="111760" cy="372745"/>
            <wp:effectExtent l="0" t="0" r="254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134" w:rsidRDefault="00BF3134" w:rsidP="00BF3134">
      <w:pPr>
        <w:spacing w:line="97" w:lineRule="exact"/>
        <w:rPr>
          <w:rFonts w:ascii="Times New Roman" w:eastAsia="Times New Roman" w:hAnsi="Times New Roman"/>
        </w:rPr>
      </w:pPr>
    </w:p>
    <w:p w:rsidR="00BF3134" w:rsidRDefault="00BF3134" w:rsidP="00BF3134">
      <w:pPr>
        <w:spacing w:line="0" w:lineRule="atLeast"/>
        <w:rPr>
          <w:rFonts w:ascii="Times New Roman" w:eastAsia="Times New Roman" w:hAnsi="Times New Roman"/>
          <w:b/>
        </w:rPr>
      </w:pPr>
    </w:p>
    <w:p w:rsidR="0040299C" w:rsidRDefault="00461222">
      <w:pPr>
        <w:spacing w:after="208" w:line="267" w:lineRule="auto"/>
        <w:ind w:left="-5"/>
      </w:pPr>
      <w:r>
        <w:rPr>
          <w:b/>
          <w:i/>
        </w:rPr>
        <w:t xml:space="preserve">1.3.2. Asfaltowa emulsja kationowa. </w:t>
      </w:r>
    </w:p>
    <w:p w:rsidR="0040299C" w:rsidRDefault="00461222">
      <w:pPr>
        <w:ind w:left="-5"/>
      </w:pPr>
      <w:r>
        <w:t xml:space="preserve">Kationowa emulsja asfaltowa jest to lepiszcze bitumiczne w postaci zawiesiny rozproszonego asfaltu w wodzie, otrzymana z zastosowaniem emulgatora kationowego odpowiadająca PN EN 13808. </w:t>
      </w:r>
    </w:p>
    <w:p w:rsidR="00BF3134" w:rsidRDefault="00BF3134">
      <w:pPr>
        <w:ind w:left="-5"/>
      </w:pPr>
    </w:p>
    <w:p w:rsidR="00BF3134" w:rsidRPr="00BF3134" w:rsidRDefault="00461222">
      <w:pPr>
        <w:spacing w:after="203"/>
        <w:ind w:left="-5"/>
        <w:rPr>
          <w:b/>
          <w:i/>
        </w:rPr>
      </w:pPr>
      <w:r w:rsidRPr="008F4F05">
        <w:rPr>
          <w:b/>
          <w:i/>
        </w:rPr>
        <w:t>1.3.3</w:t>
      </w:r>
      <w:r w:rsidR="00BF3134">
        <w:t xml:space="preserve">. </w:t>
      </w:r>
      <w:r w:rsidR="00BF3134" w:rsidRPr="00BF3134">
        <w:rPr>
          <w:b/>
          <w:i/>
        </w:rPr>
        <w:t>Kruszywo</w:t>
      </w:r>
    </w:p>
    <w:p w:rsidR="0040299C" w:rsidRDefault="00461222">
      <w:pPr>
        <w:spacing w:after="203"/>
        <w:ind w:left="-5"/>
      </w:pPr>
      <w:r>
        <w:t xml:space="preserve">Grys- kruszywo uzyskane w procesie przeróbki skały litej; łamane granulowane o wielkości ziaren od 2 do 51,5 mm odpowiadające PN EN 13043. </w:t>
      </w:r>
    </w:p>
    <w:p w:rsidR="0040299C" w:rsidRDefault="00461222">
      <w:pPr>
        <w:spacing w:after="201"/>
        <w:ind w:left="-5"/>
      </w:pPr>
      <w:r>
        <w:t xml:space="preserve">Wykonawca robót jest odpowiedzialny za jakość  zastosowanych materiałów i wykonanych robót, ich zgodności z wymaganiami postawionymi w niniejszej SST. </w:t>
      </w:r>
    </w:p>
    <w:p w:rsidR="0040299C" w:rsidRDefault="00461222">
      <w:pPr>
        <w:pStyle w:val="Nagwek2"/>
        <w:ind w:left="-5"/>
      </w:pPr>
      <w:r>
        <w:lastRenderedPageBreak/>
        <w:t xml:space="preserve">2. Materiały </w:t>
      </w:r>
    </w:p>
    <w:p w:rsidR="0040299C" w:rsidRDefault="00461222">
      <w:pPr>
        <w:pStyle w:val="Nagwek3"/>
        <w:ind w:left="-5"/>
      </w:pPr>
      <w:r>
        <w:t>2.1</w:t>
      </w:r>
      <w:r w:rsidR="00BF3134">
        <w:t>.</w:t>
      </w:r>
      <w:r>
        <w:t xml:space="preserve"> Kruszywo </w:t>
      </w:r>
    </w:p>
    <w:p w:rsidR="0040299C" w:rsidRDefault="00461222">
      <w:pPr>
        <w:pStyle w:val="Nagwek4"/>
        <w:ind w:left="-5"/>
      </w:pPr>
      <w:r>
        <w:t>2.1.1</w:t>
      </w:r>
      <w:r w:rsidR="00BF3134">
        <w:t>.</w:t>
      </w:r>
      <w:r>
        <w:t xml:space="preserve"> Wymagania </w:t>
      </w:r>
    </w:p>
    <w:p w:rsidR="0040299C" w:rsidRDefault="00461222">
      <w:pPr>
        <w:spacing w:after="204"/>
        <w:ind w:left="-5"/>
      </w:pPr>
      <w:r>
        <w:t xml:space="preserve">Do podwójne  powierzchniowego utrwalenia należy stosować grysy bazaltowe płukane klasy I gat. I frakcji </w:t>
      </w:r>
      <w:r w:rsidR="00345C6F">
        <w:t>2/5</w:t>
      </w:r>
      <w:r>
        <w:t xml:space="preserve"> mm i </w:t>
      </w:r>
      <w:r w:rsidR="00345C6F">
        <w:t>5/8</w:t>
      </w:r>
      <w:r>
        <w:t xml:space="preserve">. Powinny one odpowiadać wymaganiom normy PN EN -13043 oraz posiadać aktualną deklarację własności użytkowych. </w:t>
      </w:r>
    </w:p>
    <w:p w:rsidR="0040299C" w:rsidRDefault="00461222">
      <w:pPr>
        <w:spacing w:after="205"/>
        <w:ind w:left="-5"/>
      </w:pPr>
      <w:r>
        <w:t xml:space="preserve">Grysy używane do powierzchniowego utrwalenia nawierzchni powinny być czyste i suche. </w:t>
      </w:r>
    </w:p>
    <w:p w:rsidR="0040299C" w:rsidRDefault="00461222">
      <w:pPr>
        <w:spacing w:after="204"/>
        <w:ind w:left="-5"/>
      </w:pPr>
      <w:r>
        <w:t xml:space="preserve">W związku z tym kruszywo nie powinno być składowane na poboczach, lecz dowożone bezpośrednio środkiem transportu i wbudowane. </w:t>
      </w:r>
    </w:p>
    <w:p w:rsidR="0040299C" w:rsidRDefault="00461222">
      <w:pPr>
        <w:pStyle w:val="Nagwek2"/>
        <w:spacing w:after="208"/>
        <w:ind w:left="-5"/>
        <w:rPr>
          <w:b w:val="0"/>
          <w:i w:val="0"/>
        </w:rPr>
      </w:pPr>
      <w:r>
        <w:t>2.</w:t>
      </w:r>
      <w:r w:rsidR="00BF3134">
        <w:t>2.</w:t>
      </w:r>
      <w:r>
        <w:t>Lepiszcza</w:t>
      </w:r>
      <w:r>
        <w:rPr>
          <w:b w:val="0"/>
          <w:i w:val="0"/>
        </w:rPr>
        <w:t xml:space="preserve"> </w:t>
      </w:r>
    </w:p>
    <w:p w:rsidR="00BF3134" w:rsidRPr="00AB212A" w:rsidRDefault="00BF3134" w:rsidP="00BF3134">
      <w:pPr>
        <w:rPr>
          <w:b/>
        </w:rPr>
      </w:pPr>
      <w:r w:rsidRPr="00AB212A">
        <w:rPr>
          <w:b/>
        </w:rPr>
        <w:t>2.2.1. Wymagania</w:t>
      </w:r>
    </w:p>
    <w:p w:rsidR="0040299C" w:rsidRDefault="00BF3134">
      <w:pPr>
        <w:spacing w:after="201"/>
        <w:ind w:left="-5"/>
      </w:pPr>
      <w:r>
        <w:t>K</w:t>
      </w:r>
      <w:r w:rsidR="00461222">
        <w:t xml:space="preserve">ationowa emulsja asfaltowa C69BP3PU musi posiadać aktualną deklarację własności użytkowych o dopuszczeniu do stosowania na drogach i powinna ona odpowiadać wymaganiom normy PN EN </w:t>
      </w:r>
      <w:r>
        <w:t>-</w:t>
      </w:r>
      <w:r w:rsidR="00461222">
        <w:t xml:space="preserve">13808.  </w:t>
      </w:r>
    </w:p>
    <w:p w:rsidR="0040299C" w:rsidRDefault="00461222">
      <w:pPr>
        <w:pStyle w:val="Nagwek2"/>
        <w:ind w:left="-5"/>
      </w:pPr>
      <w:r>
        <w:t xml:space="preserve">3. Sprzęt </w:t>
      </w:r>
    </w:p>
    <w:p w:rsidR="0040299C" w:rsidRDefault="00461222">
      <w:pPr>
        <w:ind w:left="-5"/>
      </w:pPr>
      <w:r>
        <w:t xml:space="preserve">Wykonawca powinien dysponować następującym sprzętem: </w:t>
      </w:r>
    </w:p>
    <w:p w:rsidR="0040299C" w:rsidRDefault="00461222">
      <w:pPr>
        <w:ind w:left="-5"/>
      </w:pPr>
      <w:r>
        <w:rPr>
          <w:b/>
        </w:rPr>
        <w:t>-szczotka mechaniczna</w:t>
      </w:r>
      <w:r>
        <w:t xml:space="preserve"> wykonana z twardych elementów czyszczących (służąca do zdrapywania i usuwania zanieczyszczeń) </w:t>
      </w:r>
    </w:p>
    <w:p w:rsidR="0040299C" w:rsidRDefault="00461222">
      <w:pPr>
        <w:ind w:left="-5"/>
      </w:pPr>
      <w:r>
        <w:rPr>
          <w:b/>
        </w:rPr>
        <w:t>-kombajn</w:t>
      </w:r>
      <w:r>
        <w:t xml:space="preserve"> do powierzchniowego utrwalenia nawierzchni szer. robocza min 25cm max 3m z elektronicznym sterowaniem pozwalającym na precyzyjne dozowanie lepiszcza i kruszywa. </w:t>
      </w:r>
    </w:p>
    <w:p w:rsidR="0040299C" w:rsidRDefault="00461222">
      <w:pPr>
        <w:ind w:left="-5"/>
      </w:pPr>
      <w:r>
        <w:rPr>
          <w:b/>
        </w:rPr>
        <w:t xml:space="preserve">-walec </w:t>
      </w:r>
      <w:r>
        <w:t xml:space="preserve"> drogowy ogumiony przy ciśnieniu powietrza w oponach do 0,6 </w:t>
      </w:r>
      <w:proofErr w:type="spellStart"/>
      <w:r>
        <w:t>MPa</w:t>
      </w:r>
      <w:proofErr w:type="spellEnd"/>
      <w:r>
        <w:t xml:space="preserve"> i obciążeniem  </w:t>
      </w:r>
    </w:p>
    <w:p w:rsidR="0040299C" w:rsidRDefault="00461222">
      <w:pPr>
        <w:ind w:left="-5"/>
      </w:pPr>
      <w:r>
        <w:t xml:space="preserve">               15 </w:t>
      </w:r>
      <w:proofErr w:type="spellStart"/>
      <w:r>
        <w:t>kN</w:t>
      </w:r>
      <w:proofErr w:type="spellEnd"/>
      <w:r>
        <w:t xml:space="preserve"> na koło. </w:t>
      </w:r>
    </w:p>
    <w:p w:rsidR="0040299C" w:rsidRDefault="00461222">
      <w:pPr>
        <w:pStyle w:val="Nagwek2"/>
        <w:ind w:left="-5"/>
      </w:pPr>
      <w:r>
        <w:t xml:space="preserve">4. Transport </w:t>
      </w:r>
    </w:p>
    <w:p w:rsidR="0040299C" w:rsidRDefault="00461222">
      <w:pPr>
        <w:ind w:left="-5"/>
      </w:pPr>
      <w:r>
        <w:rPr>
          <w:b/>
        </w:rPr>
        <w:t>4.1 Transport kruszywa</w:t>
      </w:r>
      <w:r>
        <w:t xml:space="preserve"> może być przewożone dowolnymi środkami transportu, ale w taki sposób aby nie dopuścić do jego zanieczyszczenia i zmieszania z kruszywem innego rodzaju, klasy i gatunku. </w:t>
      </w:r>
      <w:r>
        <w:rPr>
          <w:b/>
        </w:rPr>
        <w:t>4.2 Transport lepiszcza</w:t>
      </w:r>
      <w:r>
        <w:t xml:space="preserve"> powinien być dokonany w cysternach samochodowych, skrapiarkach samochodowych. Wszystkie środki transportu powinny być czyste. Nie powinny zawierać resztek lepiszcza innego niż wbudowane </w:t>
      </w:r>
    </w:p>
    <w:p w:rsidR="0040299C" w:rsidRDefault="00461222">
      <w:pPr>
        <w:pStyle w:val="Nagwek2"/>
        <w:spacing w:after="17" w:line="259" w:lineRule="auto"/>
        <w:ind w:left="-5"/>
      </w:pPr>
      <w:r>
        <w:rPr>
          <w:i w:val="0"/>
        </w:rPr>
        <w:t xml:space="preserve">5. Wykonanie robót </w:t>
      </w:r>
    </w:p>
    <w:p w:rsidR="0040299C" w:rsidRDefault="00461222">
      <w:pPr>
        <w:spacing w:after="0" w:line="276" w:lineRule="auto"/>
        <w:ind w:left="0" w:firstLine="0"/>
        <w:jc w:val="both"/>
      </w:pPr>
      <w:r>
        <w:t>Podwójne powierzchniowe utrwalenie nawierzchni należy wykonać zgodnie z warunkami technicznymi zawartymi w WT-1 Kruszywa : 2010 i normą PN EN 13808: 2010 z wymaganiami do kationowych emulsji asfaltowych. Powierzchniowe utrwalenie nawierzchni należy wykonać przy użyciu płukanych grysów bazaltowych klasy I frakcji</w:t>
      </w:r>
      <w:r w:rsidR="003F6236">
        <w:t xml:space="preserve"> 2/5</w:t>
      </w:r>
      <w:r>
        <w:t xml:space="preserve"> mm oraz</w:t>
      </w:r>
      <w:r w:rsidR="003F6236">
        <w:t xml:space="preserve"> 5/8</w:t>
      </w:r>
      <w:r>
        <w:t xml:space="preserve"> mm i kationowej emulsji asfaltowej C69BP3PU.  </w:t>
      </w:r>
    </w:p>
    <w:p w:rsidR="0040299C" w:rsidRDefault="00461222">
      <w:pPr>
        <w:ind w:left="-5"/>
      </w:pPr>
      <w:r>
        <w:t xml:space="preserve">Tuż przed przystąpieniem do rozkładania emulsji, nawierzchnia musi być dokładnie oczyszczona za pomocą szczotek mechanicznych, a dla usunięcia pyłu, którego najwięcej gromadzi się przy krawędzi, zaleca się stosować pneumatyczne urządzenia pochłaniające lub dmuchawę. </w:t>
      </w:r>
    </w:p>
    <w:p w:rsidR="0040299C" w:rsidRDefault="00461222">
      <w:pPr>
        <w:ind w:left="-5"/>
      </w:pPr>
      <w:r>
        <w:t xml:space="preserve">Rozpoczęcie robót może nastąpić po wykonaniu badań sprawdzających wg pkt 6.1 wykonanych przy udziale Inspektora nadzoru powołanego przez Inwestora i upewnieniu się ,że nawierzchnia została oczyszczona zgodnie z wymaganiami, a sprzęt gwarantuje rozłożenie przewidzianej ilości emulsji i grysów. </w:t>
      </w:r>
    </w:p>
    <w:p w:rsidR="0040299C" w:rsidRDefault="00461222">
      <w:pPr>
        <w:ind w:left="-5"/>
      </w:pPr>
      <w:r>
        <w:t xml:space="preserve">Grysy powinny być rozkładane równomierną warstwą, na świeżo rozłożonej warstwie emulsji. Bezpośrednio po rozłożeniu grysów należy dokonać ich wałowania dla wciśnięcia ziaren w emulsję i </w:t>
      </w:r>
      <w:r>
        <w:lastRenderedPageBreak/>
        <w:t xml:space="preserve">wstępnego utwierdzenia w nawierzchni.  Dla uzyskania właściwego przywałowania można przyjąć co najmniej 5- krotne przejście walca ogumionego w tym samym miejscu przy stosunkowo dużej prędkości od 8 do 10 km/h i przy i przy ciśnieniu powietrza w oponach do 0,6 </w:t>
      </w:r>
      <w:proofErr w:type="spellStart"/>
      <w:r>
        <w:t>MPa</w:t>
      </w:r>
      <w:proofErr w:type="spellEnd"/>
      <w:r>
        <w:t xml:space="preserve"> i obciążeniem 15 </w:t>
      </w:r>
      <w:proofErr w:type="spellStart"/>
      <w:r>
        <w:t>kN</w:t>
      </w:r>
      <w:proofErr w:type="spellEnd"/>
      <w:r>
        <w:t xml:space="preserve"> na koło. Przy wykonywaniu podwójnego powierzchniowego utrwalenia, pierwszą warstwę kruszywa wałuje się tylko wstępnie (jedno przejście walca). Ostateczne utwierdzenie ziaren grysów następuje dopiero po kilku dniach pod wpływem ruchu. </w:t>
      </w:r>
    </w:p>
    <w:p w:rsidR="0040299C" w:rsidRDefault="00461222">
      <w:pPr>
        <w:ind w:left="-5"/>
      </w:pPr>
      <w:r>
        <w:t xml:space="preserve">Wykonawca robót jest odpowiedzialny za bezpieczeństwo ruchu drogowego w obrębie odcinka objętego niniejszym zamówieniem przez cały okres robót, aż do zakończenia okresu pielęgnacji włącznie. </w:t>
      </w:r>
    </w:p>
    <w:p w:rsidR="0040299C" w:rsidRDefault="00461222">
      <w:pPr>
        <w:ind w:left="-5"/>
      </w:pPr>
      <w:r>
        <w:t xml:space="preserve">Znaki powinny być odblaskowe, czyste, i w razie potrzeby czyszczone, odnawiane lub wymieniane na nowe. W razie potrzeby, Wykonawca uzgodni i wprowadzi regulację, ruch wahadłowy za pomocą sygnalizatorów świateł lub za pomocą pracowników sygnalistów, odpowiednio przeszkolonych i posiadających uprawnienia do kierowania ruchem. </w:t>
      </w:r>
    </w:p>
    <w:p w:rsidR="0040299C" w:rsidRDefault="00461222">
      <w:pPr>
        <w:ind w:left="-5"/>
      </w:pPr>
      <w:r>
        <w:t xml:space="preserve">Ruch drogowy odbywający się po wstępnym zagęszczonym powierzchniowym utrwaleniu sprzyja utwierdzeniu ziaren kruszywa pod warunkiem, że prędkość ruchu będzie ograniczona od 30 do 40 km/h. </w:t>
      </w:r>
    </w:p>
    <w:p w:rsidR="0040299C" w:rsidRDefault="00461222">
      <w:pPr>
        <w:ind w:left="-5"/>
      </w:pPr>
      <w:r>
        <w:t>Na cały okres robót, aż do czasu usunięcia luźnego kruszywa, Wykonawca spowoduje ograniczenie prędkości od 30 do 40 km/h.</w:t>
      </w:r>
      <w:r>
        <w:rPr>
          <w:sz w:val="20"/>
        </w:rPr>
        <w:t xml:space="preserve">   </w:t>
      </w:r>
      <w:r>
        <w:t xml:space="preserve">Oznakowanie powyższego  odcinka drogi  pozostawić przez 30 dni licząc od dnia odbioru robót. </w:t>
      </w:r>
    </w:p>
    <w:p w:rsidR="0040299C" w:rsidRDefault="00461222">
      <w:pPr>
        <w:spacing w:after="19" w:line="259" w:lineRule="auto"/>
        <w:ind w:left="0" w:firstLine="0"/>
      </w:pPr>
      <w:r>
        <w:t xml:space="preserve"> </w:t>
      </w:r>
    </w:p>
    <w:p w:rsidR="002F7544" w:rsidRPr="002F7544" w:rsidRDefault="00461222" w:rsidP="00562BFD">
      <w:pPr>
        <w:pStyle w:val="Akapitzlist"/>
        <w:numPr>
          <w:ilvl w:val="0"/>
          <w:numId w:val="3"/>
        </w:numPr>
        <w:spacing w:after="9" w:line="267" w:lineRule="auto"/>
        <w:ind w:right="6493"/>
      </w:pPr>
      <w:r w:rsidRPr="00562BFD">
        <w:rPr>
          <w:b/>
          <w:i/>
        </w:rPr>
        <w:t xml:space="preserve">Kontrola jakości </w:t>
      </w:r>
      <w:r w:rsidR="002F7544" w:rsidRPr="00562BFD">
        <w:rPr>
          <w:b/>
          <w:i/>
        </w:rPr>
        <w:t xml:space="preserve">robót </w:t>
      </w:r>
    </w:p>
    <w:p w:rsidR="0040299C" w:rsidRDefault="00461222" w:rsidP="002F7544">
      <w:pPr>
        <w:spacing w:after="9" w:line="267" w:lineRule="auto"/>
        <w:ind w:right="6493" w:firstLine="0"/>
      </w:pPr>
      <w:r>
        <w:rPr>
          <w:b/>
          <w:i/>
        </w:rPr>
        <w:t xml:space="preserve">6.1 Badania sprawdzające. </w:t>
      </w:r>
    </w:p>
    <w:p w:rsidR="0040299C" w:rsidRDefault="00461222">
      <w:pPr>
        <w:ind w:left="-5"/>
      </w:pPr>
      <w:r>
        <w:t xml:space="preserve">Niezależnie od wymienionych badań testujących sprzęt przed rozpoczęciem powierzchniowego utrwalenia nawierzchni należy wykonać następujące badania i kontrole: </w:t>
      </w:r>
    </w:p>
    <w:p w:rsidR="0040299C" w:rsidRDefault="00461222">
      <w:pPr>
        <w:ind w:left="-5"/>
      </w:pPr>
      <w:r>
        <w:t xml:space="preserve">1/ sprawdzić stan nawierzchni, na której ma być wykonane powierzchniowe utrwalenie nawierzchni poprzez wizualna ocenę jakości wykonywanych robót przygotowawczych i oczyszczenia nawierzchni, 2/ocenić wizualnie stan techniczny sprzętu i wszystkich jego podzespołów oraz urządzeń mających wpływ na dozowanie emulsji i grysów/ dysze, pompy, manometry, termometry, obrotomierze, dźwignie regulacyjne itp./ </w:t>
      </w:r>
    </w:p>
    <w:p w:rsidR="0040299C" w:rsidRDefault="00461222">
      <w:pPr>
        <w:ind w:left="-5"/>
      </w:pPr>
      <w:r>
        <w:t xml:space="preserve">3/sprawdzić na wybranym odcinku doświadczalnym /pas drogi szer. 3,0 m i długości 50,0 m/ dozowania ilości emulsji i grysów przy takich nastawach parametrów jakie zamierza się utrzymywać podczas wykonywania powierzchniowego utrwalenia nawierzchni/parametry ustalone wg świadectwa cechowania dla przyjętej rzeczywistej ilości emulsji i grysów/. </w:t>
      </w:r>
    </w:p>
    <w:p w:rsidR="0040299C" w:rsidRDefault="00461222">
      <w:pPr>
        <w:spacing w:after="16" w:line="259" w:lineRule="auto"/>
        <w:ind w:left="0" w:firstLine="0"/>
      </w:pPr>
      <w:r>
        <w:t xml:space="preserve"> </w:t>
      </w:r>
    </w:p>
    <w:p w:rsidR="0040299C" w:rsidRDefault="00461222">
      <w:pPr>
        <w:spacing w:after="9" w:line="267" w:lineRule="auto"/>
        <w:ind w:left="-5"/>
      </w:pPr>
      <w:r>
        <w:rPr>
          <w:b/>
          <w:i/>
        </w:rPr>
        <w:t xml:space="preserve">6.2 Badania i kontrole w czasie wykonywania podwójnego powierzchniowego utrwalenia nawierzchni. </w:t>
      </w:r>
    </w:p>
    <w:p w:rsidR="0040299C" w:rsidRDefault="00461222">
      <w:pPr>
        <w:spacing w:after="45"/>
        <w:ind w:left="-5"/>
      </w:pPr>
      <w:r>
        <w:t xml:space="preserve">Badania w czasie wykonywania robót obejmują: </w:t>
      </w:r>
    </w:p>
    <w:p w:rsidR="0040299C" w:rsidRDefault="00461222">
      <w:pPr>
        <w:numPr>
          <w:ilvl w:val="1"/>
          <w:numId w:val="1"/>
        </w:numPr>
        <w:spacing w:after="38"/>
        <w:ind w:hanging="348"/>
      </w:pPr>
      <w:r>
        <w:t xml:space="preserve">Sprawdzenie czy mechanizmy regulacyjne i parametry kombajnu do powierzchniowego utrwalenia zostały ustawione tak jak to ustalono podczas wykonywania odcinka doświadczalnego przed rozpoczęciem robót, </w:t>
      </w:r>
    </w:p>
    <w:p w:rsidR="0040299C" w:rsidRDefault="00461222">
      <w:pPr>
        <w:numPr>
          <w:ilvl w:val="1"/>
          <w:numId w:val="1"/>
        </w:numPr>
        <w:spacing w:after="39"/>
        <w:ind w:hanging="348"/>
      </w:pPr>
      <w:r>
        <w:t xml:space="preserve">Sprawdzenie czy temperatura otoczenia jest zgodna z wymaganiami tj. +15 ° C oraz czy temperatura emulsji mieści się w zakresie od 65 ° C do 75° C. </w:t>
      </w:r>
    </w:p>
    <w:p w:rsidR="0040299C" w:rsidRDefault="00461222">
      <w:pPr>
        <w:numPr>
          <w:ilvl w:val="1"/>
          <w:numId w:val="1"/>
        </w:numPr>
        <w:spacing w:after="32"/>
        <w:ind w:hanging="348"/>
      </w:pPr>
      <w:r>
        <w:t xml:space="preserve">Sprawdzenie czy na budowę dostarczane są grysy o przewidzianej frakcji, klasie i gatunku, </w:t>
      </w:r>
    </w:p>
    <w:p w:rsidR="0040299C" w:rsidRDefault="00461222">
      <w:pPr>
        <w:numPr>
          <w:ilvl w:val="1"/>
          <w:numId w:val="1"/>
        </w:numPr>
        <w:spacing w:after="34"/>
        <w:ind w:hanging="348"/>
      </w:pPr>
      <w:r>
        <w:t xml:space="preserve">Sprawdzenie czy na budowę dostarczona jest emulsja o przewidzianych parametrach, </w:t>
      </w:r>
    </w:p>
    <w:p w:rsidR="0040299C" w:rsidRDefault="00461222">
      <w:pPr>
        <w:numPr>
          <w:ilvl w:val="1"/>
          <w:numId w:val="1"/>
        </w:numPr>
        <w:spacing w:after="41"/>
        <w:ind w:hanging="348"/>
      </w:pPr>
      <w:r>
        <w:lastRenderedPageBreak/>
        <w:t xml:space="preserve">Prowadzenie stałej obserwacji wypływu emulsji  z dysz kolektora oraz stopnia pokrycia nawierzchni grysami. W przypadku zauważenia zatkania lub wadliwego wypływu emulsji choćby z jednej tylko dyszy, bądź też nierównomiernego pokrywania nawierzchni grysami należy natychmiast wstrzymać dalsze prowadzenie robót i usunąć przyczynę wadliwego funkcjonowania sprzętu. </w:t>
      </w:r>
    </w:p>
    <w:p w:rsidR="0040299C" w:rsidRDefault="00461222">
      <w:pPr>
        <w:numPr>
          <w:ilvl w:val="1"/>
          <w:numId w:val="1"/>
        </w:numPr>
        <w:spacing w:after="34"/>
        <w:ind w:hanging="348"/>
      </w:pPr>
      <w:r>
        <w:t xml:space="preserve">Kontrolowanie liczby przejść walca i ciśnienia w oponach </w:t>
      </w:r>
    </w:p>
    <w:p w:rsidR="0040299C" w:rsidRDefault="00461222">
      <w:pPr>
        <w:numPr>
          <w:ilvl w:val="1"/>
          <w:numId w:val="1"/>
        </w:numPr>
        <w:spacing w:after="29"/>
        <w:ind w:hanging="348"/>
      </w:pPr>
      <w:r>
        <w:t xml:space="preserve">Dokonywanie kontrolnych pomiarów ilości rozkładanej emulsji i grysów w sposób opisany w pkt 6.1 .pomiary należy wykonywać co najmniej jeden raz dziennie tuż po rozpoczęciu robót oraz w każdym przypadku , jeżeli wizualnie zaobserwuje się zmianę ilości i równomierności wypływu emulsji z dysz kolektora lub zmianę ilości rozsypywanych grysów, jednakże nie rzadziej niż co 1 km. </w:t>
      </w:r>
    </w:p>
    <w:p w:rsidR="0040299C" w:rsidRDefault="00461222">
      <w:pPr>
        <w:tabs>
          <w:tab w:val="center" w:pos="411"/>
          <w:tab w:val="center" w:pos="708"/>
        </w:tabs>
        <w:spacing w:after="0" w:line="259" w:lineRule="auto"/>
        <w:ind w:left="0" w:firstLine="0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:rsidR="0040299C" w:rsidRDefault="00461222">
      <w:pPr>
        <w:spacing w:after="9" w:line="267" w:lineRule="auto"/>
        <w:ind w:left="-5"/>
      </w:pPr>
      <w:r>
        <w:rPr>
          <w:b/>
          <w:i/>
        </w:rPr>
        <w:t xml:space="preserve">6.3.Badania i pomiary po wykonaniu podwójnego  powierzchniowego utrwalenia. </w:t>
      </w:r>
    </w:p>
    <w:p w:rsidR="0040299C" w:rsidRDefault="00461222">
      <w:pPr>
        <w:pStyle w:val="Nagwek3"/>
        <w:ind w:left="-5"/>
      </w:pPr>
      <w:r>
        <w:t xml:space="preserve">6.3.1. Pomiar szerokości </w:t>
      </w:r>
    </w:p>
    <w:p w:rsidR="0040299C" w:rsidRDefault="00461222">
      <w:pPr>
        <w:ind w:left="-5"/>
      </w:pPr>
      <w:r>
        <w:t xml:space="preserve">Po zakończeniu robót i usunięciu nie związanych ziaren z nawierzchni i z pobocza przy jej krawędzi, Zamawiający w obecności Wykonawcy dokonuje pomiaru szerokości pojedynczego </w:t>
      </w:r>
    </w:p>
    <w:p w:rsidR="0040299C" w:rsidRDefault="00461222">
      <w:pPr>
        <w:ind w:left="-5"/>
      </w:pPr>
      <w:r>
        <w:t xml:space="preserve">powierzchniowego utrwalenia nawierzchni w 10 miejscach na 1 km. Mierzy się szerokość tylko tej części jezdni, która charakteryzuje się dobrym osadzeniem ziaren grysów w emulsji. Pomierzona szerokość nie powinna się różnić od przewidzianej umową więcej niż +-5 cm. Sprawdzenia i porównania z umową wymaga również lokalizacji początku i końca odcinka pojedynczego powierzchniowego utrwalenia.   </w:t>
      </w:r>
    </w:p>
    <w:p w:rsidR="0040299C" w:rsidRDefault="00461222">
      <w:pPr>
        <w:spacing w:after="19" w:line="259" w:lineRule="auto"/>
        <w:ind w:left="0" w:firstLine="0"/>
      </w:pPr>
      <w:r>
        <w:t xml:space="preserve"> </w:t>
      </w:r>
    </w:p>
    <w:p w:rsidR="0040299C" w:rsidRDefault="00461222">
      <w:pPr>
        <w:pStyle w:val="Nagwek3"/>
        <w:spacing w:after="9" w:line="267" w:lineRule="auto"/>
        <w:ind w:left="-5"/>
      </w:pPr>
      <w:r>
        <w:rPr>
          <w:i/>
        </w:rPr>
        <w:t xml:space="preserve">6.3.2 Pomiar  równości </w:t>
      </w:r>
    </w:p>
    <w:p w:rsidR="0040299C" w:rsidRDefault="00461222">
      <w:pPr>
        <w:ind w:left="-5"/>
      </w:pPr>
      <w:r>
        <w:t xml:space="preserve">Profil wykonanego podwójnego powierzchniowego utrwalenia nawierzchni powinien odpowiadać profilowi podłużnemu i poprzecznemu istniejącej nawierzchni. </w:t>
      </w:r>
    </w:p>
    <w:p w:rsidR="0040299C" w:rsidRDefault="00461222">
      <w:pPr>
        <w:spacing w:after="19" w:line="259" w:lineRule="auto"/>
        <w:ind w:left="0" w:firstLine="0"/>
      </w:pPr>
      <w:r>
        <w:t xml:space="preserve"> </w:t>
      </w:r>
    </w:p>
    <w:p w:rsidR="0040299C" w:rsidRDefault="00461222">
      <w:pPr>
        <w:spacing w:after="9" w:line="267" w:lineRule="auto"/>
        <w:ind w:left="-5"/>
      </w:pPr>
      <w:r>
        <w:rPr>
          <w:b/>
          <w:i/>
        </w:rPr>
        <w:t xml:space="preserve">6.3.3 Ocena wyglądu zewnętrznego pojedynczego powierzchniowego utrwalenia nawierzchni. </w:t>
      </w:r>
    </w:p>
    <w:p w:rsidR="0040299C" w:rsidRDefault="00461222">
      <w:pPr>
        <w:ind w:left="-5"/>
      </w:pPr>
      <w:r>
        <w:t xml:space="preserve">Ocena powierzchniowego utrwalenia dokonuje Zamawiający wspólnie z Wykonawcą metoda wizualną. </w:t>
      </w:r>
    </w:p>
    <w:p w:rsidR="0040299C" w:rsidRDefault="00461222">
      <w:pPr>
        <w:ind w:left="-5"/>
      </w:pPr>
      <w:r>
        <w:t xml:space="preserve">Podwójne  powierzchniowe utrwalenie powinno charakteryzować się jednorodnym wyglądem zewnętrznym. Powierzchnia jezdni powinna być równomiernie pokryta ziarnami grysów dobrze osadzonymi w emulsji, tworzącymi wyraźną grubą makroteksturę. Przy właściwym dozowaniu grysów mogą wystąpić tylko minimalne jego zloty/ rzędu 5%/ ilości rozłożonych grysów. </w:t>
      </w:r>
    </w:p>
    <w:p w:rsidR="0040299C" w:rsidRDefault="00461222">
      <w:pPr>
        <w:spacing w:after="16" w:line="259" w:lineRule="auto"/>
        <w:ind w:left="0" w:firstLine="0"/>
      </w:pPr>
      <w:r>
        <w:t xml:space="preserve"> </w:t>
      </w:r>
    </w:p>
    <w:p w:rsidR="0040299C" w:rsidRDefault="00461222">
      <w:pPr>
        <w:pStyle w:val="Nagwek2"/>
        <w:ind w:left="-5"/>
      </w:pPr>
      <w:r>
        <w:t xml:space="preserve">7. Obmiar robót </w:t>
      </w:r>
    </w:p>
    <w:p w:rsidR="0040299C" w:rsidRDefault="00461222">
      <w:pPr>
        <w:ind w:left="-5"/>
      </w:pPr>
      <w:r>
        <w:t xml:space="preserve">Jednostką obmiarowa wykonania podwójnego powierzchniowego utrwalenia nawierzchni jest 1 m². </w:t>
      </w:r>
    </w:p>
    <w:p w:rsidR="0040299C" w:rsidRDefault="00461222">
      <w:pPr>
        <w:ind w:left="-5"/>
      </w:pPr>
      <w:r>
        <w:t xml:space="preserve">Obmiar robót polega na określeniu faktycznego zakresu robót wykonanych. </w:t>
      </w:r>
    </w:p>
    <w:p w:rsidR="0040299C" w:rsidRDefault="00461222">
      <w:pPr>
        <w:ind w:left="-5"/>
      </w:pPr>
      <w:r>
        <w:t xml:space="preserve">Obmiar robót obejmuje roboty objęte umową. Obmiaru robót dokonuje się zgodnie z przedmiarem. W przypadku wystąpienia różnic w stosunku do przedmiaru zwiększona powierzchnia nie będzie odebrana. </w:t>
      </w:r>
    </w:p>
    <w:p w:rsidR="0040299C" w:rsidRDefault="00461222">
      <w:pPr>
        <w:spacing w:after="16" w:line="259" w:lineRule="auto"/>
        <w:ind w:left="0" w:firstLine="0"/>
      </w:pPr>
      <w:r>
        <w:t xml:space="preserve"> </w:t>
      </w:r>
    </w:p>
    <w:p w:rsidR="0040299C" w:rsidRDefault="00461222">
      <w:pPr>
        <w:pStyle w:val="Nagwek2"/>
        <w:ind w:left="-5"/>
      </w:pPr>
      <w:r>
        <w:t xml:space="preserve">8. Odbiór robót </w:t>
      </w:r>
    </w:p>
    <w:p w:rsidR="0040299C" w:rsidRDefault="00461222">
      <w:pPr>
        <w:ind w:left="-5"/>
      </w:pPr>
      <w:r>
        <w:t xml:space="preserve">Odbiór robót powinien być przeprowadzony w czasie umożliwiającym wykonanie ewentualnych  poprawek. Roboty poprawkowe Wykonawca wykona na własny koszt w terminie ustalonym z Zamawiającym. W przypadku wątpliwości co do jakości robót, Wykonawca w porozumieniu z Zamawiającym wykonuje dodatkowe badania laboratoryjne i pomiary uzupełniające. </w:t>
      </w:r>
    </w:p>
    <w:p w:rsidR="0040299C" w:rsidRDefault="00461222">
      <w:pPr>
        <w:spacing w:after="16" w:line="259" w:lineRule="auto"/>
        <w:ind w:left="0" w:firstLine="0"/>
      </w:pPr>
      <w:r>
        <w:t xml:space="preserve"> </w:t>
      </w:r>
    </w:p>
    <w:p w:rsidR="0040299C" w:rsidRDefault="00461222">
      <w:pPr>
        <w:pStyle w:val="Nagwek2"/>
        <w:ind w:left="-5"/>
      </w:pPr>
      <w:r>
        <w:t xml:space="preserve">9. Podstawa płatności </w:t>
      </w:r>
    </w:p>
    <w:p w:rsidR="0040299C" w:rsidRDefault="00461222">
      <w:pPr>
        <w:spacing w:after="41"/>
        <w:ind w:left="-5" w:right="282"/>
      </w:pPr>
      <w:r>
        <w:t xml:space="preserve">Podstawą płatności jest ilość wykonanego podwójnego powierzchniowego utrwalenia nawierzchni zgodnie z powykonawczym obmiarem robót na podstawie protokołu odbioru robót. </w:t>
      </w:r>
      <w:r>
        <w:rPr>
          <w:b/>
        </w:rPr>
        <w:t xml:space="preserve">Zapłata za powyższe obejmuje </w:t>
      </w:r>
    </w:p>
    <w:p w:rsidR="0040299C" w:rsidRDefault="00461222">
      <w:pPr>
        <w:numPr>
          <w:ilvl w:val="0"/>
          <w:numId w:val="2"/>
        </w:numPr>
        <w:spacing w:after="33"/>
        <w:ind w:hanging="348"/>
      </w:pPr>
      <w:r>
        <w:t xml:space="preserve">Oznakowanie robót </w:t>
      </w:r>
    </w:p>
    <w:p w:rsidR="0040299C" w:rsidRDefault="00461222">
      <w:pPr>
        <w:numPr>
          <w:ilvl w:val="0"/>
          <w:numId w:val="2"/>
        </w:numPr>
        <w:spacing w:after="39"/>
        <w:ind w:hanging="348"/>
      </w:pPr>
      <w:r>
        <w:t xml:space="preserve">Roboty pomiarowe i roboty przygotowawcze (oczyszczenie jezdni przed i po wykonaniu robót) </w:t>
      </w:r>
    </w:p>
    <w:p w:rsidR="0040299C" w:rsidRDefault="00461222">
      <w:pPr>
        <w:numPr>
          <w:ilvl w:val="0"/>
          <w:numId w:val="2"/>
        </w:numPr>
        <w:spacing w:after="39"/>
        <w:ind w:hanging="348"/>
      </w:pPr>
      <w:r>
        <w:t xml:space="preserve">Wykonanie robót zgodnie z pkt 5 SST i za cenę jednostkową zgodnie z kosztorysem ofertowym </w:t>
      </w:r>
    </w:p>
    <w:p w:rsidR="0040299C" w:rsidRDefault="00461222">
      <w:pPr>
        <w:numPr>
          <w:ilvl w:val="0"/>
          <w:numId w:val="2"/>
        </w:numPr>
        <w:spacing w:after="36"/>
        <w:ind w:hanging="348"/>
      </w:pPr>
      <w:r>
        <w:t xml:space="preserve">Koszty poniesione przez Wykonawcę  za dostarczenie aktualnych deklaracji własności użytkowych wbudowanych materiałów , celem sprawdzenia ich właściwości i jakości </w:t>
      </w:r>
    </w:p>
    <w:p w:rsidR="0040299C" w:rsidRDefault="00461222">
      <w:pPr>
        <w:numPr>
          <w:ilvl w:val="0"/>
          <w:numId w:val="2"/>
        </w:numPr>
        <w:spacing w:after="34"/>
        <w:ind w:hanging="348"/>
      </w:pPr>
      <w:r>
        <w:t xml:space="preserve">Robociznę bezpośrednią </w:t>
      </w:r>
    </w:p>
    <w:p w:rsidR="0040299C" w:rsidRDefault="00461222">
      <w:pPr>
        <w:numPr>
          <w:ilvl w:val="0"/>
          <w:numId w:val="2"/>
        </w:numPr>
        <w:spacing w:after="36"/>
        <w:ind w:hanging="348"/>
      </w:pPr>
      <w:r>
        <w:t xml:space="preserve">Wartość pracy sprzętu wraz z kosztami jednorazowymi (wartość materiałów wraz z transportem na budowę </w:t>
      </w:r>
    </w:p>
    <w:p w:rsidR="0040299C" w:rsidRDefault="00461222">
      <w:pPr>
        <w:numPr>
          <w:ilvl w:val="0"/>
          <w:numId w:val="2"/>
        </w:numPr>
        <w:spacing w:after="33"/>
        <w:ind w:hanging="348"/>
      </w:pPr>
      <w:r>
        <w:t xml:space="preserve">Uporządkowanie terenu budowy po zakończeniu robót </w:t>
      </w:r>
    </w:p>
    <w:p w:rsidR="0040299C" w:rsidRDefault="00461222">
      <w:pPr>
        <w:numPr>
          <w:ilvl w:val="0"/>
          <w:numId w:val="2"/>
        </w:numPr>
        <w:spacing w:after="31"/>
        <w:ind w:hanging="348"/>
      </w:pPr>
      <w:r>
        <w:t xml:space="preserve">Koszty zakupu  </w:t>
      </w:r>
    </w:p>
    <w:p w:rsidR="0040299C" w:rsidRDefault="00461222">
      <w:pPr>
        <w:numPr>
          <w:ilvl w:val="0"/>
          <w:numId w:val="2"/>
        </w:numPr>
        <w:ind w:hanging="348"/>
      </w:pPr>
      <w:r>
        <w:t xml:space="preserve">Zysk kalkulacyjny zawierający ewentualne ryzyko Wykonawcy z tytułu innych wydatków mogących wystąpić w czasie realizacji robót w okresie gwarancyjnym </w:t>
      </w:r>
    </w:p>
    <w:p w:rsidR="0040299C" w:rsidRDefault="00461222">
      <w:pPr>
        <w:spacing w:after="16" w:line="259" w:lineRule="auto"/>
        <w:ind w:left="720" w:firstLine="0"/>
      </w:pPr>
      <w:r>
        <w:t xml:space="preserve"> </w:t>
      </w:r>
    </w:p>
    <w:p w:rsidR="0040299C" w:rsidRDefault="00461222">
      <w:pPr>
        <w:pStyle w:val="Nagwek2"/>
        <w:ind w:left="-5"/>
      </w:pPr>
      <w:r>
        <w:t xml:space="preserve">10. Przepisy związane </w:t>
      </w:r>
    </w:p>
    <w:p w:rsidR="0040299C" w:rsidRDefault="00461222">
      <w:pPr>
        <w:pStyle w:val="Nagwek3"/>
        <w:ind w:left="-5"/>
      </w:pPr>
      <w:r>
        <w:t xml:space="preserve">10.1 Normy </w:t>
      </w:r>
    </w:p>
    <w:p w:rsidR="0040299C" w:rsidRDefault="00461222">
      <w:pPr>
        <w:ind w:left="-5"/>
      </w:pPr>
      <w:r>
        <w:t xml:space="preserve">1. PN-EN 113043 –Kruszywa do mieszanek bitumicznych i powierzchniowych utrwaleń stosowanych na drogach </w:t>
      </w:r>
    </w:p>
    <w:p w:rsidR="0040299C" w:rsidRDefault="00461222">
      <w:pPr>
        <w:ind w:left="-5"/>
      </w:pPr>
      <w:r>
        <w:t xml:space="preserve">2.PN-EN 13614 –asfalty i lepiszcza asfaltowe – oznaczenie przyczepności emulsji bitumicznych przez zanurzenie w wodzie- Metoda z kruszywem </w:t>
      </w:r>
    </w:p>
    <w:p w:rsidR="0040299C" w:rsidRDefault="00461222">
      <w:pPr>
        <w:ind w:left="-5"/>
      </w:pPr>
      <w:r>
        <w:t xml:space="preserve">3.PN-65/S -96033 –Drogi samochodowe. powierzchniowe utrwalenie nawierzchni drogowych. </w:t>
      </w:r>
    </w:p>
    <w:p w:rsidR="0040299C" w:rsidRDefault="00461222">
      <w:pPr>
        <w:ind w:left="-5"/>
      </w:pPr>
      <w:r>
        <w:t xml:space="preserve">4.PN-71/S -96034 –Drogi samochodowe. Nawierzchnie bitumiczne powierzchniowe utrwalenie przy użyciu emulsji asfaltowej. </w:t>
      </w:r>
    </w:p>
    <w:p w:rsidR="0040299C" w:rsidRDefault="00461222">
      <w:pPr>
        <w:ind w:left="-5"/>
      </w:pPr>
      <w:r>
        <w:t xml:space="preserve">5. PN-EN 1308 – Wymagania do kationowych emulsji asfaltowych </w:t>
      </w:r>
    </w:p>
    <w:p w:rsidR="0040299C" w:rsidRDefault="00461222">
      <w:pPr>
        <w:pStyle w:val="Nagwek3"/>
        <w:ind w:left="-5"/>
      </w:pPr>
      <w:r>
        <w:t xml:space="preserve">10.2 Inne dokumenty </w:t>
      </w:r>
    </w:p>
    <w:p w:rsidR="0040299C" w:rsidRDefault="00461222">
      <w:pPr>
        <w:ind w:left="-5"/>
      </w:pPr>
      <w:r>
        <w:t xml:space="preserve">1. Wymagania techniczne- kruszywa do mieszanek mineralno-asfaltowych i powierzchniowych utrwaleń na drogach publicznych (WT-1 Kruszywa 2010) </w:t>
      </w:r>
    </w:p>
    <w:p w:rsidR="0040299C" w:rsidRDefault="00461222">
      <w:pPr>
        <w:ind w:left="-5"/>
      </w:pPr>
      <w:r>
        <w:t>2.</w:t>
      </w:r>
      <w:r w:rsidR="00CE2332">
        <w:t xml:space="preserve"> </w:t>
      </w:r>
      <w:r>
        <w:t>Nawierzchnie pojedynczo powierzchniowo utrwalone GDDP (W-</w:t>
      </w:r>
      <w:proofErr w:type="spellStart"/>
      <w:r>
        <w:t>wa</w:t>
      </w:r>
      <w:proofErr w:type="spellEnd"/>
      <w:r>
        <w:t xml:space="preserve"> 1999) </w:t>
      </w:r>
    </w:p>
    <w:p w:rsidR="0040299C" w:rsidRDefault="00461222" w:rsidP="00562BFD">
      <w:pPr>
        <w:ind w:left="-5"/>
      </w:pPr>
      <w:r>
        <w:t>3. Powierzchniowe utrwalenie. oznaczenie ilości rozkładanego lepiszcza i kruszywa. GDDP (W-</w:t>
      </w:r>
      <w:proofErr w:type="spellStart"/>
      <w:r>
        <w:t>wa</w:t>
      </w:r>
      <w:proofErr w:type="spellEnd"/>
      <w:r>
        <w:t xml:space="preserve"> 1992)</w:t>
      </w:r>
    </w:p>
    <w:p w:rsidR="00BF3134" w:rsidRDefault="00BF3134" w:rsidP="00562BFD">
      <w:pPr>
        <w:ind w:left="-5"/>
      </w:pPr>
    </w:p>
    <w:p w:rsidR="00BF3134" w:rsidRDefault="00BF3134" w:rsidP="00562BFD">
      <w:pPr>
        <w:ind w:left="-5"/>
      </w:pPr>
    </w:p>
    <w:p w:rsidR="00BF3134" w:rsidRDefault="00BF3134" w:rsidP="00562BFD">
      <w:pPr>
        <w:ind w:left="-5"/>
      </w:pPr>
    </w:p>
    <w:p w:rsidR="00BF3134" w:rsidRDefault="00BF3134" w:rsidP="00562BFD">
      <w:pPr>
        <w:ind w:left="-5"/>
      </w:pPr>
    </w:p>
    <w:p w:rsidR="00BF3134" w:rsidRDefault="00BF3134" w:rsidP="00562BFD">
      <w:pPr>
        <w:ind w:left="-5"/>
      </w:pPr>
    </w:p>
    <w:p w:rsidR="00BF3134" w:rsidRDefault="00BF3134" w:rsidP="00562BFD">
      <w:pPr>
        <w:ind w:left="-5"/>
      </w:pPr>
    </w:p>
    <w:p w:rsidR="00BF3134" w:rsidRDefault="00BF3134" w:rsidP="00562BFD">
      <w:pPr>
        <w:ind w:left="-5"/>
      </w:pPr>
    </w:p>
    <w:p w:rsidR="00BF3134" w:rsidRDefault="00BF3134" w:rsidP="00562BFD">
      <w:pPr>
        <w:ind w:left="-5"/>
      </w:pPr>
    </w:p>
    <w:p w:rsidR="00BF3134" w:rsidRDefault="00BF3134" w:rsidP="00BF3134">
      <w:pPr>
        <w:spacing w:after="208" w:line="267" w:lineRule="auto"/>
        <w:ind w:left="-5"/>
      </w:pPr>
      <w:r>
        <w:rPr>
          <w:b/>
          <w:i/>
        </w:rPr>
        <w:t xml:space="preserve">1.4 Przepisy źródłowe i związane. </w:t>
      </w:r>
    </w:p>
    <w:p w:rsidR="00BF3134" w:rsidRDefault="00BF3134" w:rsidP="00BF3134">
      <w:pPr>
        <w:spacing w:after="203"/>
        <w:ind w:left="-5"/>
      </w:pPr>
      <w:r>
        <w:t xml:space="preserve">Uwzględnione zostały normy, wytyczne i świadectwa dopuszczenia do stosowania materiałów w budownictwie drogowym wyszczególnione w odpowiednich punktach SST. </w:t>
      </w:r>
    </w:p>
    <w:p w:rsidR="00BF3134" w:rsidRDefault="00BF3134" w:rsidP="00BF3134">
      <w:pPr>
        <w:spacing w:after="208" w:line="267" w:lineRule="auto"/>
        <w:ind w:left="-5"/>
      </w:pPr>
      <w:r>
        <w:rPr>
          <w:b/>
          <w:i/>
        </w:rPr>
        <w:t xml:space="preserve">1.5 Ogólne wymagania dotyczące jakości robót. </w:t>
      </w:r>
    </w:p>
    <w:p w:rsidR="00BF3134" w:rsidRDefault="00BF3134" w:rsidP="00562BFD">
      <w:pPr>
        <w:ind w:left="-5"/>
      </w:pPr>
    </w:p>
    <w:p w:rsidR="00BF3134" w:rsidRDefault="00BF3134" w:rsidP="00562BFD">
      <w:pPr>
        <w:ind w:left="-5"/>
      </w:pPr>
    </w:p>
    <w:p w:rsidR="00BF3134" w:rsidRDefault="00BF3134" w:rsidP="00562BFD">
      <w:pPr>
        <w:ind w:left="-5"/>
      </w:pPr>
    </w:p>
    <w:p w:rsidR="00BF3134" w:rsidRDefault="00BF3134" w:rsidP="00562BFD">
      <w:pPr>
        <w:ind w:left="-5"/>
      </w:pPr>
    </w:p>
    <w:p w:rsidR="00BF3134" w:rsidRDefault="00BF3134" w:rsidP="00562BFD">
      <w:pPr>
        <w:ind w:left="-5"/>
      </w:pPr>
    </w:p>
    <w:p w:rsidR="00BF3134" w:rsidRDefault="00BF3134" w:rsidP="00562BFD">
      <w:pPr>
        <w:ind w:left="-5"/>
      </w:pPr>
    </w:p>
    <w:sectPr w:rsidR="00BF3134">
      <w:pgSz w:w="11900" w:h="16840"/>
      <w:pgMar w:top="1453" w:right="1417" w:bottom="14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437E"/>
    <w:multiLevelType w:val="hybridMultilevel"/>
    <w:tmpl w:val="DF8812EE"/>
    <w:lvl w:ilvl="0" w:tplc="72F46EA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06A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45A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4BE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42F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DA4A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1AB2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E31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4D3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0C4C51"/>
    <w:multiLevelType w:val="hybridMultilevel"/>
    <w:tmpl w:val="9A2050E2"/>
    <w:lvl w:ilvl="0" w:tplc="EB8629EC">
      <w:start w:val="6"/>
      <w:numFmt w:val="decimal"/>
      <w:lvlText w:val="%1."/>
      <w:lvlJc w:val="left"/>
      <w:pPr>
        <w:ind w:left="37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608F26E6"/>
    <w:multiLevelType w:val="hybridMultilevel"/>
    <w:tmpl w:val="DD0477B8"/>
    <w:lvl w:ilvl="0" w:tplc="5C8821F0">
      <w:start w:val="6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4830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2AF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C669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C4E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2347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0283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4C3CF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A2436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9C"/>
    <w:rsid w:val="002F7544"/>
    <w:rsid w:val="003401D0"/>
    <w:rsid w:val="00345C6F"/>
    <w:rsid w:val="003C2231"/>
    <w:rsid w:val="003C4843"/>
    <w:rsid w:val="003F6236"/>
    <w:rsid w:val="0040299C"/>
    <w:rsid w:val="00435127"/>
    <w:rsid w:val="00461222"/>
    <w:rsid w:val="00562BFD"/>
    <w:rsid w:val="008F4F05"/>
    <w:rsid w:val="00AB212A"/>
    <w:rsid w:val="00AE3F2B"/>
    <w:rsid w:val="00BF3134"/>
    <w:rsid w:val="00C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64C9-F5BC-4BFC-B14B-20168848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71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4"/>
      <w:ind w:left="15" w:hanging="10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7" w:lineRule="auto"/>
      <w:ind w:left="12" w:hanging="10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/>
      <w:ind w:left="10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/>
      <w:ind w:left="10" w:hanging="10"/>
      <w:outlineLvl w:val="3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56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1772</Words>
  <Characters>10637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sst_podwojne</vt:lpstr>
    </vt:vector>
  </TitlesOfParts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sst_podwojne</dc:title>
  <dc:subject/>
  <dc:creator>Bożena Wójciak</dc:creator>
  <cp:keywords/>
  <cp:lastModifiedBy>Krzysiek Szczepański</cp:lastModifiedBy>
  <cp:revision>2</cp:revision>
  <dcterms:created xsi:type="dcterms:W3CDTF">2019-05-27T12:15:00Z</dcterms:created>
  <dcterms:modified xsi:type="dcterms:W3CDTF">2019-05-27T12:15:00Z</dcterms:modified>
</cp:coreProperties>
</file>